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BINAH CAPITAL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001-41991</w:t>
            </w:r>
          </w:p>
        </w:tc>
        <w:tc>
          <w:tcPr>
            <w:tcW w:w="654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88-3276689</w:t>
            </w:r>
          </w:p>
        </w:tc>
      </w:tr>
      <w:tr>
        <w:trPr>
          <w:trHeight w:val="232"/>
        </w:trPr>
        <w:tc>
          <w:tcPr>
            <w:tcW w:w="470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87"/>
        </w:trPr>
        <w:tc>
          <w:tcPr>
            <w:tcW w:w="47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80 State Street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38"/>
        </w:trPr>
        <w:tc>
          <w:tcPr>
            <w:tcW w:w="47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Albany, New York</w:t>
            </w:r>
          </w:p>
        </w:tc>
        <w:tc>
          <w:tcPr>
            <w:tcW w:w="6540" w:type="dxa"/>
            <w:vAlign w:val="bottom"/>
            <w:gridSpan w:val="3"/>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12207</w:t>
            </w:r>
          </w:p>
        </w:tc>
      </w:tr>
      <w:tr>
        <w:trPr>
          <w:trHeight w:val="232"/>
        </w:trPr>
        <w:tc>
          <w:tcPr>
            <w:tcW w:w="470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4700" w:type="dxa"/>
            <w:vAlign w:val="bottom"/>
          </w:tcPr>
          <w:p>
            <w:pPr>
              <w:spacing w:after="0"/>
              <w:rPr>
                <w:sz w:val="24"/>
                <w:szCs w:val="24"/>
                <w:color w:val="auto"/>
              </w:rPr>
            </w:pPr>
          </w:p>
        </w:tc>
        <w:tc>
          <w:tcPr>
            <w:tcW w:w="6540" w:type="dxa"/>
            <w:vAlign w:val="bottom"/>
            <w:gridSpan w:val="3"/>
          </w:tcPr>
          <w:p>
            <w:pPr>
              <w:jc w:val="right"/>
              <w:ind w:right="4970"/>
              <w:spacing w:after="0"/>
              <w:rPr>
                <w:sz w:val="20"/>
                <w:szCs w:val="20"/>
                <w:color w:val="auto"/>
              </w:rPr>
            </w:pPr>
            <w:r>
              <w:rPr>
                <w:rFonts w:ascii="Times New Roman" w:cs="Times New Roman" w:eastAsia="Times New Roman" w:hAnsi="Times New Roman"/>
                <w:sz w:val="18"/>
                <w:szCs w:val="18"/>
                <w:b w:val="1"/>
                <w:bCs w:val="1"/>
                <w:color w:val="auto"/>
              </w:rPr>
              <w:t>(212) 404-7002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80" w:type="dxa"/>
            <w:vAlign w:val="bottom"/>
            <w:tcBorders>
              <w:top w:val="single" w:sz="8" w:color="auto"/>
              <w:left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BCG</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91"/>
        </w:trPr>
        <w:tc>
          <w:tcPr>
            <w:tcW w:w="40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Warrants, each exercisable for one share of Common</w:t>
            </w:r>
          </w:p>
        </w:tc>
        <w:tc>
          <w:tcPr>
            <w:tcW w:w="3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BCGWW</w:t>
            </w:r>
          </w:p>
        </w:tc>
        <w:tc>
          <w:tcPr>
            <w:tcW w:w="3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26"/>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Stock at an exercise price of $11.50 per share</w:t>
            </w:r>
          </w:p>
        </w:tc>
        <w:tc>
          <w:tcPr>
            <w:tcW w:w="3580" w:type="dxa"/>
            <w:vAlign w:val="bottom"/>
            <w:tcBorders>
              <w:right w:val="single" w:sz="8" w:color="auto"/>
            </w:tcBorders>
            <w:vMerge w:val="continue"/>
          </w:tcPr>
          <w:p>
            <w:pPr>
              <w:spacing w:after="0"/>
              <w:rPr>
                <w:sz w:val="10"/>
                <w:szCs w:val="10"/>
                <w:color w:val="auto"/>
              </w:rPr>
            </w:pPr>
          </w:p>
        </w:tc>
        <w:tc>
          <w:tcPr>
            <w:tcW w:w="3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0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9"/>
        </w:trPr>
        <w:tc>
          <w:tcPr>
            <w:tcW w:w="40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0"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12, 2026, Binah Capital Group, Inc. (the “Company”) held its Annual Meeting of Stockholders (the “Annual Meeting”) virtually via live webcast. At the Annual Meeting, the Company’s stockholders voted on five proposals, each of which is described in more detail in the Company’s definitive proxy statement on Schedule 14A filed with the U.S. Securities and Exchange Commission. As of the record date of April 24, 2026, there were 16,602,460 shares of the Company’s common stock outstanding. At the Annual Meeting, 12,744,834 shares, or approximately 76.76% of all shares of the Company’s common stock outstanding as of the record date, were represented either in person or by proxy. The following is a brief description of each matter voted upon and the certified results, including the number of votes cast for and against each matter and, if applicable, the number of abstentions and broker non-votes with respect to each matter:</w:t>
      </w:r>
    </w:p>
    <w:p>
      <w:pPr>
        <w:spacing w:after="0" w:line="185" w:lineRule="exact"/>
        <w:rPr>
          <w:sz w:val="20"/>
          <w:szCs w:val="20"/>
          <w:color w:val="auto"/>
        </w:rPr>
      </w:pPr>
    </w:p>
    <w:p>
      <w:pPr>
        <w:ind w:left="660" w:hanging="652"/>
        <w:spacing w:after="0" w:line="26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a proposal to elect one (1) Class II director, Daniel Hynes, to the Board of Directors (the “Board”) to serve until the 2029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his successor is duly elected and qualified;</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 proposal to approve, on a non-binding advisory basis, the compensation of the Company’s named executive officers;</w:t>
      </w:r>
    </w:p>
    <w:p>
      <w:pPr>
        <w:spacing w:after="0" w:line="8" w:lineRule="exact"/>
        <w:rPr>
          <w:rFonts w:ascii="Arial" w:cs="Arial" w:eastAsia="Arial" w:hAnsi="Arial"/>
          <w:sz w:val="18"/>
          <w:szCs w:val="18"/>
          <w:b w:val="1"/>
          <w:bCs w:val="1"/>
          <w:color w:val="auto"/>
        </w:rPr>
      </w:pPr>
    </w:p>
    <w:p>
      <w:pPr>
        <w:ind w:left="660" w:hanging="652"/>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 proposal to approve, on a non-binding advisory basis, the frequency of the Company’s future advisory votes on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named executive officers;</w:t>
      </w:r>
    </w:p>
    <w:p>
      <w:pPr>
        <w:spacing w:after="0" w:line="1" w:lineRule="exact"/>
        <w:rPr>
          <w:rFonts w:ascii="Arial" w:cs="Arial" w:eastAsia="Arial" w:hAnsi="Arial"/>
          <w:sz w:val="18"/>
          <w:szCs w:val="18"/>
          <w:b w:val="1"/>
          <w:bCs w:val="1"/>
          <w:color w:val="auto"/>
        </w:rPr>
      </w:pPr>
    </w:p>
    <w:p>
      <w:pPr>
        <w:ind w:left="660" w:hanging="652"/>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 proposal to ratify the appointment of FGMK, LLC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 w:lineRule="exact"/>
        <w:rPr>
          <w:rFonts w:ascii="Arial" w:cs="Arial" w:eastAsia="Arial" w:hAnsi="Arial"/>
          <w:sz w:val="18"/>
          <w:szCs w:val="18"/>
          <w:b w:val="1"/>
          <w:bCs w:val="1"/>
          <w:color w:val="auto"/>
        </w:rPr>
      </w:pPr>
    </w:p>
    <w:p>
      <w:pPr>
        <w:ind w:left="660" w:hanging="652"/>
        <w:spacing w:after="0" w:line="25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a proposal to approve an amendment to the Company’s 2024 Equity Incentive Plan to increase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available for issuance thereunder to 2,650,000 shares.</w:t>
      </w:r>
    </w:p>
    <w:p>
      <w:pPr>
        <w:spacing w:after="0" w:line="1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Voting Results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The voting results for the election of the director nominee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Hynes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11,537,532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above nominee was elected as a director of the Company.</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This proposal was approved with 11,530,512 “FOR” votes, 55,126 “AGAINST” votes and 5,721 “ABSTAIN” votes.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1,153,475 broker non-votes in connection with this proposal.</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The stockholders approved, on a non-binding advisory basis, a frequency of “every one year” for future advisory votes on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The voting results were as follows: 11,576,606 votes for “ONE YEAR,” 7,472 votes for “TWO YEARS,” 6,222 votes for “THREE YEARS” and 1,059 “ABSTAIN” votes. There were 1,153,475 broker non-votes in connection with this proposal. In light of the voting results, the Board of Directors determined that the Company will hold an advisory vote on named executive officer compensation every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This proposal was approved with 12,652,706 “FOR” votes, 90,812 “AGAINST” votes and 1,316 “ABSTAIN” votes.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This proposal was approved with 10,900,419 “FOR” votes, 690,509 “AGAINST” votes and 431 “ABSTAIN” votes.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1,153,475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40"/>
        <w:spacing w:after="0"/>
        <w:tabs>
          <w:tab w:leader="none" w:pos="12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b w:val="1"/>
          <w:bCs w:val="1"/>
          <w:color w:val="auto"/>
        </w:rPr>
        <w:t>BINAH CAPITAL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Craig Gould,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2026-06-15T15:46:21Z</dcterms:created>
  <dcterms:modified xsi:type="dcterms:W3CDTF">2026-06-15T15:46:21Z</dcterms:modified>
</cp:coreProperties>
</file>