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50930x10q.htm"/>
        <w:bookmarkStart w:id="1" w:name="kstmb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240"/>
        <w:ind w:left="0" w:right="0" w:hanging="0"/>
        <w:jc w:val="center"/>
        <w:rPr/>
      </w:pPr>
      <w:bookmarkStart w:id="2" w:name="_cb72e7fd_e592_49a8_a7ac_5a0b2cc52b3f"/>
      <w:bookmarkEnd w:id="2"/>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FORM10-Q</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4gwSfKmaeUyIdgtJuCYxOg_1_1"/>
      <w:bookmarkStart w:id="4" w:name="_37d7c375_71a9_4d98_8205_b1b6d7dcd807"/>
      <w:bookmarkStart w:id="5" w:name="Tc_4gwSfKmaeUyIdgtJuCYxOg_1_1"/>
      <w:bookmarkStart w:id="6" w:name="_37d7c375_71a9_4d98_8205_b1b6d7dcd807"/>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September 30, 2025</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7" w:name="Tc_PXTTgsSXzE6cY9wc2p40Qg_1_1"/>
      <w:bookmarkStart w:id="8" w:name="_d82f753c_c644_41af_8561_62cc26c2c5e9"/>
      <w:bookmarkStart w:id="9" w:name="Tc_PXTTgsSXzE6cY9wc2p40Qg_1_1"/>
      <w:bookmarkStart w:id="10" w:name="_d82f753c_c644_41af_8561_62cc26c2c5e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No. 001-40742</w:t>
      </w:r>
    </w:p>
    <w:p>
      <w:pPr>
        <w:pStyle w:val="TextBody"/>
        <w:bidi w:val="0"/>
        <w:spacing w:before="0" w:after="0"/>
        <w:ind w:left="0" w:right="0" w:hanging="0"/>
        <w:jc w:val="center"/>
        <w:rPr>
          <w:rFonts w:ascii="Times New Roman;Times;serif" w:hAnsi="Times New Roman;Times;serif"/>
          <w:b/>
          <w:sz w:val="42"/>
        </w:rPr>
      </w:pPr>
      <w:r>
        <w:rPr>
          <w:rFonts w:ascii="Times New Roman;Times;serif" w:hAnsi="Times New Roman;Times;serif"/>
          <w:b/>
          <w:sz w:val="42"/>
        </w:rPr>
        <w:t>Binah Capital Group,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1" w:name="Tc_P8TcqsBVxUCQB34ed_TR7Q_1_1"/>
      <w:bookmarkStart w:id="12" w:name="Tc_q9PIu6b5F0-AqAr4st8v1w_1_0"/>
      <w:bookmarkStart w:id="13" w:name="_1fb294a6_5439_44c6_92e8_54ac99a1d86a"/>
      <w:bookmarkStart w:id="14" w:name="Tc_P8TcqsBVxUCQB34ed_TR7Q_1_1"/>
      <w:bookmarkStart w:id="15" w:name="Tc_q9PIu6b5F0-AqAr4st8v1w_1_0"/>
      <w:bookmarkStart w:id="16" w:name="_1fb294a6_5439_44c6_92e8_54ac99a1d86a"/>
      <w:bookmarkEnd w:id="14"/>
      <w:bookmarkEnd w:id="15"/>
      <w:bookmarkEnd w:id="16"/>
    </w:p>
    <w:tbl>
      <w:tblPr>
        <w:tblW w:w="3857" w:type="dxa"/>
        <w:jc w:val="left"/>
        <w:tblInd w:w="0" w:type="dxa"/>
        <w:tblLayout w:type="fixed"/>
        <w:tblCellMar>
          <w:top w:w="0" w:type="dxa"/>
          <w:left w:w="0" w:type="dxa"/>
          <w:bottom w:w="0" w:type="dxa"/>
          <w:right w:w="0" w:type="dxa"/>
        </w:tblCellMar>
      </w:tblPr>
      <w:tblGrid>
        <w:gridCol w:w="2371"/>
        <w:gridCol w:w="1486"/>
      </w:tblGrid>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88-3276689</w: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b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 State Street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Albany, NY</w:t>
      </w:r>
      <w:r>
        <w:rPr>
          <w:rFonts w:ascii="Times New Roman;Times;serif" w:hAnsi="Times New Roman;Times;serif"/>
          <w:sz w:val="20"/>
        </w:rPr>
        <w:t xml:space="preserve"> </w:t>
      </w:r>
      <w:r>
        <w:rPr>
          <w:rFonts w:ascii="Times New Roman;Times;serif" w:hAnsi="Times New Roman;Times;serif"/>
          <w:b/>
          <w:sz w:val="16"/>
        </w:rPr>
        <w:t>12207</w:t>
      </w:r>
    </w:p>
    <w:p>
      <w:pPr>
        <w:pStyle w:val="TextBody"/>
        <w:bidi w:val="0"/>
        <w:spacing w:before="0" w:after="10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 including zip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(212) 404-7002</w:t>
      </w:r>
    </w:p>
    <w:p>
      <w:pPr>
        <w:pStyle w:val="TextBody"/>
        <w:bidi w:val="0"/>
        <w:spacing w:before="0" w:after="10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(Former name, former address and former fiscal year, if changed since last report)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G2fVM0gMoUao_LVZcRI6JQ_2_4"/>
      <w:bookmarkStart w:id="18" w:name="Tc_7zmLb8QTikaA4rpZhop5JA_1_4"/>
      <w:bookmarkStart w:id="19" w:name="Tc_IJvyJCC35kW5IyHnJCSSpA_0_4"/>
      <w:bookmarkStart w:id="20" w:name="Tc_KaSSVIbki0mgzGs3Hmupuw_0_2"/>
      <w:bookmarkStart w:id="21" w:name="Tc_-RPSu4bQR06mjyffbuKhdg_0_0"/>
      <w:bookmarkStart w:id="22" w:name="_0fcd024a_787c_43e9_9404_714233ec72a2"/>
      <w:bookmarkStart w:id="23" w:name="Tc_G2fVM0gMoUao_LVZcRI6JQ_2_4"/>
      <w:bookmarkStart w:id="24" w:name="Tc_7zmLb8QTikaA4rpZhop5JA_1_4"/>
      <w:bookmarkStart w:id="25" w:name="Tc_IJvyJCC35kW5IyHnJCSSpA_0_4"/>
      <w:bookmarkStart w:id="26" w:name="Tc_KaSSVIbki0mgzGs3Hmupuw_0_2"/>
      <w:bookmarkStart w:id="27" w:name="Tc_-RPSu4bQR06mjyffbuKhdg_0_0"/>
      <w:bookmarkStart w:id="28" w:name="_0fcd024a_787c_43e9_9404_714233ec72a2"/>
      <w:bookmarkEnd w:id="23"/>
      <w:bookmarkEnd w:id="24"/>
      <w:bookmarkEnd w:id="25"/>
      <w:bookmarkEnd w:id="26"/>
      <w:bookmarkEnd w:id="27"/>
      <w:bookmarkEnd w:id="28"/>
    </w:p>
    <w:tbl>
      <w:tblPr>
        <w:tblW w:w="10205" w:type="dxa"/>
        <w:jc w:val="left"/>
        <w:tblInd w:w="0" w:type="dxa"/>
        <w:tblLayout w:type="fixed"/>
        <w:tblCellMar>
          <w:top w:w="0" w:type="dxa"/>
          <w:left w:w="0" w:type="dxa"/>
          <w:bottom w:w="28" w:type="dxa"/>
          <w:right w:w="0" w:type="dxa"/>
        </w:tblCellMar>
      </w:tblPr>
      <w:tblGrid>
        <w:gridCol w:w="6512"/>
        <w:gridCol w:w="326"/>
        <w:gridCol w:w="822"/>
        <w:gridCol w:w="326"/>
        <w:gridCol w:w="2219"/>
      </w:tblGrid>
      <w:tr>
        <w:trPr/>
        <w:tc>
          <w:tcPr>
            <w:tcW w:w="6512"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822"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Trading</w:t>
            </w:r>
            <w:r>
              <w:rPr>
                <w:rFonts w:ascii="Times New Roman;Times;serif" w:hAnsi="Times New Roman;Times;serif"/>
                <w:sz w:val="16"/>
              </w:rPr>
              <w:br/>
            </w:r>
            <w:r>
              <w:rPr>
                <w:rFonts w:ascii="Times New Roman;Times;serif" w:hAnsi="Times New Roman;Times;serif"/>
                <w:b/>
                <w:sz w:val="16"/>
              </w:rPr>
              <w:t>Symbol(s)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2219"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t xml:space="preserve"> </w:t>
              <w:br/>
            </w:r>
            <w:r>
              <w:rPr>
                <w:rFonts w:ascii="Times New Roman;Times;serif" w:hAnsi="Times New Roman;Times;serif"/>
                <w:b/>
                <w:sz w:val="16"/>
              </w:rPr>
              <w:t>on which registered</w:t>
            </w:r>
          </w:p>
        </w:tc>
      </w:tr>
      <w:tr>
        <w:trPr/>
        <w:tc>
          <w:tcPr>
            <w:tcW w:w="6512"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Common Stock, par value $0.0001</w:t>
            </w:r>
            <w:r>
              <w:rPr>
                <w:rFonts w:ascii="Times New Roman;Times;serif" w:hAnsi="Times New Roman;Times;serif"/>
                <w:sz w:val="20"/>
              </w:rPr>
              <w:t xml:space="preserve"> </w:t>
            </w:r>
            <w:r>
              <w:rPr>
                <w:rFonts w:ascii="Times New Roman;Times;serif" w:hAnsi="Times New Roman;Times;serif"/>
                <w:b/>
                <w:sz w:val="16"/>
              </w:rPr>
              <w:t>per share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22"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BCG</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219"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tc>
      </w:tr>
      <w:tr>
        <w:trPr/>
        <w:tc>
          <w:tcPr>
            <w:tcW w:w="651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Warrants, each exercisable for one</w:t>
            </w:r>
            <w:r>
              <w:rPr>
                <w:rFonts w:ascii="Times New Roman;Times;serif" w:hAnsi="Times New Roman;Times;serif"/>
                <w:sz w:val="20"/>
              </w:rPr>
              <w:t xml:space="preserve"> </w:t>
            </w:r>
            <w:r>
              <w:rPr>
                <w:rFonts w:ascii="Times New Roman;Times;serif" w:hAnsi="Times New Roman;Times;serif"/>
                <w:b/>
                <w:sz w:val="16"/>
              </w:rPr>
              <w:t>share of Common Stock at an</w:t>
            </w:r>
            <w:r>
              <w:rPr>
                <w:rFonts w:ascii="Times New Roman;Times;serif" w:hAnsi="Times New Roman;Times;serif"/>
                <w:sz w:val="20"/>
              </w:rPr>
              <w:t xml:space="preserve"> </w:t>
            </w:r>
            <w:r>
              <w:rPr>
                <w:rFonts w:ascii="Times New Roman;Times;serif" w:hAnsi="Times New Roman;Times;serif"/>
                <w:b/>
                <w:sz w:val="16"/>
              </w:rPr>
              <w:t>exercise price of $11.50 per share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BCGWW</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21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tc>
      </w:tr>
    </w:tbl>
    <w:p>
      <w:pPr>
        <w:pStyle w:val="TextBody"/>
        <w:bidi w:val="0"/>
        <w:spacing w:before="0" w:after="0"/>
        <w:ind w:left="0" w:right="0" w:hanging="0"/>
        <w:jc w:val="left"/>
        <w:rPr/>
      </w:pPr>
      <w:r>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36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9" w:name="Tc_DJWNToHeskm7avd2q5822g_3_2"/>
      <w:bookmarkStart w:id="30" w:name="Tc_ZNHahs4JgkGoQMx8XfRiFw_2_2"/>
      <w:bookmarkStart w:id="31" w:name="Tc_pbXXSmZrY0mGL7qu_UXfvQ_2_1"/>
      <w:bookmarkStart w:id="32" w:name="Tc_5RgUaKRAKECvCQjNW0Xcuw_1_3"/>
      <w:bookmarkStart w:id="33" w:name="Tc_w_4aQdG490K_HlzwBZag8g_1_2"/>
      <w:bookmarkStart w:id="34" w:name="Tc_QTlcOaNo2EaVkpVK02yPaA_1_1"/>
      <w:bookmarkStart w:id="35" w:name="Tc_Z0XNkGqd8U2nhYo-5GAl9A_1_0"/>
      <w:bookmarkStart w:id="36" w:name="_75318a97_28cb_4227_9da3_2962a1e3c930"/>
      <w:bookmarkStart w:id="37" w:name="Tc_DJWNToHeskm7avd2q5822g_3_2"/>
      <w:bookmarkStart w:id="38" w:name="Tc_ZNHahs4JgkGoQMx8XfRiFw_2_2"/>
      <w:bookmarkStart w:id="39" w:name="Tc_pbXXSmZrY0mGL7qu_UXfvQ_2_1"/>
      <w:bookmarkStart w:id="40" w:name="Tc_5RgUaKRAKECvCQjNW0Xcuw_1_3"/>
      <w:bookmarkStart w:id="41" w:name="Tc_w_4aQdG490K_HlzwBZag8g_1_2"/>
      <w:bookmarkStart w:id="42" w:name="Tc_QTlcOaNo2EaVkpVK02yPaA_1_1"/>
      <w:bookmarkStart w:id="43" w:name="Tc_Z0XNkGqd8U2nhYo-5GAl9A_1_0"/>
      <w:bookmarkStart w:id="44" w:name="_75318a97_28cb_4227_9da3_2962a1e3c930"/>
      <w:bookmarkEnd w:id="37"/>
      <w:bookmarkEnd w:id="38"/>
      <w:bookmarkEnd w:id="39"/>
      <w:bookmarkEnd w:id="40"/>
      <w:bookmarkEnd w:id="41"/>
      <w:bookmarkEnd w:id="42"/>
      <w:bookmarkEnd w:id="43"/>
      <w:bookmarkEnd w:id="44"/>
    </w:p>
    <w:tbl>
      <w:tblPr>
        <w:tblW w:w="4369" w:type="dxa"/>
        <w:jc w:val="left"/>
        <w:tblInd w:w="0" w:type="dxa"/>
        <w:tblLayout w:type="fixed"/>
        <w:tblCellMar>
          <w:top w:w="0" w:type="dxa"/>
          <w:left w:w="0" w:type="dxa"/>
          <w:bottom w:w="0" w:type="dxa"/>
          <w:right w:w="0" w:type="dxa"/>
        </w:tblCellMar>
      </w:tblPr>
      <w:tblGrid>
        <w:gridCol w:w="1666"/>
        <w:gridCol w:w="316"/>
        <w:gridCol w:w="2026"/>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57910" cy="175260"/>
                      <wp:effectExtent l="0" t="0" r="0" b="0"/>
                      <wp:wrapNone/>
                      <wp:docPr id="1" name="Frame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86510" cy="175260"/>
                      <wp:effectExtent l="0" t="0" r="0" b="0"/>
                      <wp:wrapNone/>
                      <wp:docPr id="3" name="Frame3"/>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20"/>
        <w:ind w:left="0" w:right="0" w:firstLine="360"/>
        <w:jc w:val="both"/>
        <w:rPr>
          <w:rFonts w:ascii="Times New Roman;Times;serif" w:hAnsi="Times New Roman;Times;serif"/>
          <w:sz w:val="16"/>
        </w:rPr>
      </w:pPr>
      <w:r>
        <w:rPr>
          <w:rFonts w:ascii="Times New Roman;Times;serif" w:hAnsi="Times New Roman;Times;serif"/>
          <w:sz w:val="16"/>
        </w:rPr>
        <w:t>On November 13, 2025, there were 16,602,460 shares of common stock, $0.0001 par value per share (“Common Stock”), issued and outstanding.</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lineRule="atLeast" w:line="142"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24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5" w:name="_570f6a75_646f_4ace_8a5a_1e01ca67c9f9"/>
      <w:bookmarkEnd w:id="45"/>
      <w:r>
        <w:rPr>
          <w:rFonts w:ascii="Times New Roman;Times;serif" w:hAnsi="Times New Roman;Times;serif"/>
          <w:b/>
          <w:sz w:val="20"/>
        </w:rPr>
        <w:t>BINAH CAPITAL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Quarterly Report on Form 10-Q</w:t>
      </w:r>
    </w:p>
    <w:p>
      <w:pPr>
        <w:pStyle w:val="TextBody"/>
        <w:bidi w:val="0"/>
        <w:spacing w:before="0" w:after="240"/>
        <w:ind w:left="0" w:right="0" w:hanging="0"/>
        <w:jc w:val="center"/>
        <w:rPr>
          <w:rFonts w:ascii="Times New Roman;Times;serif" w:hAnsi="Times New Roman;Times;serif"/>
          <w:b/>
          <w:sz w:val="20"/>
        </w:rPr>
      </w:pPr>
      <w:bookmarkStart w:id="46" w:name="TOC"/>
      <w:bookmarkEnd w:id="4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11"/>
        <w:gridCol w:w="9132"/>
        <w:gridCol w:w="362"/>
      </w:tblGrid>
      <w:tr>
        <w:trPr/>
        <w:tc>
          <w:tcPr>
            <w:tcW w:w="9843" w:type="dxa"/>
            <w:gridSpan w:val="2"/>
            <w:tcBorders/>
            <w:vAlign w:val="center"/>
          </w:tcPr>
          <w:p>
            <w:pPr>
              <w:pStyle w:val="TableContents"/>
              <w:bidi w:val="0"/>
              <w:spacing w:before="0" w:after="0"/>
              <w:ind w:left="0" w:right="0" w:hanging="0"/>
              <w:jc w:val="left"/>
              <w:rPr/>
            </w:pPr>
            <w:hyperlink w:anchor="PARTIFINANCIALINFORMATION_515957">
              <w:r>
                <w:rPr>
                  <w:rStyle w:val="InternetLink"/>
                  <w:rFonts w:ascii="Times New Roman;Times;serif" w:hAnsi="Times New Roman;Times;serif"/>
                  <w:b w:val="false"/>
                  <w:i w:val="false"/>
                  <w:caps w:val="false"/>
                  <w:smallCaps w:val="false"/>
                  <w:sz w:val="20"/>
                </w:rPr>
                <w:t>PART I. FINANCIAL INFORMATION</w:t>
              </w:r>
            </w:hyperlink>
          </w:p>
        </w:tc>
        <w:tc>
          <w:tcPr>
            <w:tcW w:w="362"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bidi w:val="0"/>
              <w:spacing w:before="0" w:after="0"/>
              <w:ind w:left="0" w:right="0" w:hanging="0"/>
              <w:jc w:val="left"/>
              <w:rPr/>
            </w:pPr>
            <w:hyperlink w:anchor="Item1FinancialStatements_550132">
              <w:r>
                <w:rPr>
                  <w:rStyle w:val="InternetLink"/>
                  <w:rFonts w:ascii="Times New Roman;Times;serif" w:hAnsi="Times New Roman;Times;serif"/>
                  <w:b w:val="false"/>
                  <w:i w:val="false"/>
                  <w:caps w:val="false"/>
                  <w:smallCaps w:val="false"/>
                  <w:sz w:val="20"/>
                </w:rPr>
                <w:t>Item 1.</w:t>
              </w:r>
            </w:hyperlink>
          </w:p>
        </w:tc>
        <w:tc>
          <w:tcPr>
            <w:tcW w:w="9132" w:type="dxa"/>
            <w:tcBorders/>
            <w:vAlign w:val="center"/>
          </w:tcPr>
          <w:p>
            <w:pPr>
              <w:pStyle w:val="TableContents"/>
              <w:bidi w:val="0"/>
              <w:spacing w:before="0" w:after="0"/>
              <w:ind w:left="0" w:right="0" w:hanging="0"/>
              <w:jc w:val="left"/>
              <w:rPr/>
            </w:pPr>
            <w:hyperlink w:anchor="Item1FinancialStatements_550132">
              <w:r>
                <w:rPr>
                  <w:rStyle w:val="InternetLink"/>
                  <w:rFonts w:ascii="Times New Roman;Times;serif" w:hAnsi="Times New Roman;Times;serif"/>
                  <w:b w:val="false"/>
                  <w:i w:val="false"/>
                  <w:caps w:val="false"/>
                  <w:smallCaps w:val="false"/>
                  <w:sz w:val="20"/>
                </w:rPr>
                <w:t>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11" w:type="dxa"/>
            <w:tcBorders/>
            <w:vAlign w:val="center"/>
          </w:tcPr>
          <w:p>
            <w:pPr>
              <w:pStyle w:val="TableContents"/>
              <w:bidi w:val="0"/>
              <w:spacing w:before="0" w:after="0"/>
              <w:ind w:left="0" w:right="0" w:hanging="0"/>
              <w:jc w:val="left"/>
              <w:rPr/>
            </w:pPr>
            <w:r>
              <w:rPr/>
              <w:t>​</w:t>
            </w:r>
          </w:p>
        </w:tc>
        <w:tc>
          <w:tcPr>
            <w:tcW w:w="9132" w:type="dxa"/>
            <w:tcBorders/>
            <w:vAlign w:val="center"/>
          </w:tcPr>
          <w:p>
            <w:pPr>
              <w:pStyle w:val="TableContents"/>
              <w:bidi w:val="0"/>
              <w:spacing w:before="0" w:after="0"/>
              <w:ind w:left="0" w:right="0" w:hanging="0"/>
              <w:jc w:val="left"/>
              <w:rPr/>
            </w:pPr>
            <w:hyperlink w:anchor="CONDENSEDCONSOLIDATEDSTATEMENTSOFFINANCI">
              <w:r>
                <w:rPr>
                  <w:rStyle w:val="InternetLink"/>
                  <w:rFonts w:ascii="Times New Roman;Times;serif" w:hAnsi="Times New Roman;Times;serif"/>
                  <w:b w:val="false"/>
                  <w:i w:val="false"/>
                  <w:caps w:val="false"/>
                  <w:smallCaps w:val="false"/>
                  <w:sz w:val="20"/>
                </w:rPr>
                <w:t>Condensed Consolidated Statements of Financial Condition as of September 30, 2025 (Unaudited) and December 31, 2024</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11" w:type="dxa"/>
            <w:tcBorders/>
            <w:vAlign w:val="center"/>
          </w:tcPr>
          <w:p>
            <w:pPr>
              <w:pStyle w:val="TableContents"/>
              <w:bidi w:val="0"/>
              <w:spacing w:before="0" w:after="0"/>
              <w:ind w:left="0" w:right="0" w:hanging="0"/>
              <w:jc w:val="left"/>
              <w:rPr/>
            </w:pPr>
            <w:r>
              <w:rPr/>
              <w:t>​</w:t>
            </w:r>
          </w:p>
        </w:tc>
        <w:tc>
          <w:tcPr>
            <w:tcW w:w="9132" w:type="dxa"/>
            <w:tcBorders/>
            <w:vAlign w:val="center"/>
          </w:tcPr>
          <w:p>
            <w:pPr>
              <w:pStyle w:val="TableContents"/>
              <w:bidi w:val="0"/>
              <w:spacing w:before="0" w:after="0"/>
              <w:ind w:left="0" w:right="0" w:hanging="0"/>
              <w:jc w:val="left"/>
              <w:rPr/>
            </w:pPr>
            <w:hyperlink w:anchor="STATEMENTSOFOPERATIONS_587505">
              <w:r>
                <w:rPr>
                  <w:rStyle w:val="InternetLink"/>
                  <w:rFonts w:ascii="Times New Roman;Times;serif" w:hAnsi="Times New Roman;Times;serif"/>
                  <w:b w:val="false"/>
                  <w:i w:val="false"/>
                  <w:caps w:val="false"/>
                  <w:smallCaps w:val="false"/>
                  <w:sz w:val="20"/>
                </w:rPr>
                <w:t>Condensed Consolidated Statements of Operations for the three and nine months ended September 30, 2025 and 2024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11" w:type="dxa"/>
            <w:tcBorders/>
            <w:vAlign w:val="center"/>
          </w:tcPr>
          <w:p>
            <w:pPr>
              <w:pStyle w:val="TableContents"/>
              <w:bidi w:val="0"/>
              <w:spacing w:before="0" w:after="0"/>
              <w:ind w:left="0" w:right="0" w:hanging="0"/>
              <w:jc w:val="left"/>
              <w:rPr/>
            </w:pPr>
            <w:r>
              <w:rPr/>
              <w:t>​</w:t>
            </w:r>
          </w:p>
        </w:tc>
        <w:tc>
          <w:tcPr>
            <w:tcW w:w="9132" w:type="dxa"/>
            <w:tcBorders/>
            <w:vAlign w:val="center"/>
          </w:tcPr>
          <w:p>
            <w:pPr>
              <w:pStyle w:val="TableContents"/>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(Loss) for the three and nine months ended September 30, 2025 and 2024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11" w:type="dxa"/>
            <w:tcBorders/>
            <w:vAlign w:val="center"/>
          </w:tcPr>
          <w:p>
            <w:pPr>
              <w:pStyle w:val="TableContents"/>
              <w:bidi w:val="0"/>
              <w:spacing w:before="0" w:after="0"/>
              <w:ind w:left="0" w:right="0" w:hanging="0"/>
              <w:jc w:val="left"/>
              <w:rPr/>
            </w:pPr>
            <w:r>
              <w:rPr/>
              <w:t>​</w:t>
            </w:r>
          </w:p>
        </w:tc>
        <w:tc>
          <w:tcPr>
            <w:tcW w:w="9132" w:type="dxa"/>
            <w:tcBorders/>
            <w:vAlign w:val="center"/>
          </w:tcPr>
          <w:p>
            <w:pPr>
              <w:pStyle w:val="TableContents"/>
              <w:bidi w:val="0"/>
              <w:spacing w:before="0" w:after="0"/>
              <w:ind w:left="0" w:right="0" w:hanging="0"/>
              <w:jc w:val="left"/>
              <w:rPr/>
            </w:pPr>
            <w:hyperlink w:anchor="STOCKHOLDERSEQUITY_558661">
              <w:r>
                <w:rPr>
                  <w:rStyle w:val="InternetLink"/>
                  <w:rFonts w:ascii="Times New Roman;Times;serif" w:hAnsi="Times New Roman;Times;serif"/>
                  <w:b w:val="false"/>
                  <w:i w:val="false"/>
                  <w:caps w:val="false"/>
                  <w:smallCaps w:val="false"/>
                  <w:sz w:val="20"/>
                </w:rPr>
                <w:t>Condensed Consolidated Statements of Changes in Stockholders’ Equity for the three and nine months ended September 30, 2025 and 2024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11" w:type="dxa"/>
            <w:tcBorders/>
            <w:vAlign w:val="center"/>
          </w:tcPr>
          <w:p>
            <w:pPr>
              <w:pStyle w:val="TableContents"/>
              <w:bidi w:val="0"/>
              <w:spacing w:before="0" w:after="0"/>
              <w:ind w:left="0" w:right="0" w:hanging="0"/>
              <w:jc w:val="left"/>
              <w:rPr/>
            </w:pPr>
            <w:r>
              <w:rPr/>
              <w:t>​</w:t>
            </w:r>
          </w:p>
        </w:tc>
        <w:tc>
          <w:tcPr>
            <w:tcW w:w="9132" w:type="dxa"/>
            <w:tcBorders/>
            <w:vAlign w:val="center"/>
          </w:tcPr>
          <w:p>
            <w:pPr>
              <w:pStyle w:val="TableContents"/>
              <w:bidi w:val="0"/>
              <w:spacing w:before="0" w:after="0"/>
              <w:ind w:left="0" w:right="0" w:hanging="0"/>
              <w:jc w:val="left"/>
              <w:rPr/>
            </w:pPr>
            <w:hyperlink w:anchor="STATEMENTSOFCASHFLOWS_853689">
              <w:r>
                <w:rPr>
                  <w:rStyle w:val="InternetLink"/>
                  <w:rFonts w:ascii="Times New Roman;Times;serif" w:hAnsi="Times New Roman;Times;serif"/>
                  <w:b w:val="false"/>
                  <w:i w:val="false"/>
                  <w:caps w:val="false"/>
                  <w:smallCaps w:val="false"/>
                  <w:sz w:val="20"/>
                </w:rPr>
                <w:t>Condensed Consolidated Statements of Cash Flows for the nine months ended September 30, 2025 and 2024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11" w:type="dxa"/>
            <w:tcBorders/>
            <w:vAlign w:val="center"/>
          </w:tcPr>
          <w:p>
            <w:pPr>
              <w:pStyle w:val="TableContents"/>
              <w:bidi w:val="0"/>
              <w:spacing w:before="0" w:after="0"/>
              <w:ind w:left="0" w:right="0" w:hanging="0"/>
              <w:jc w:val="left"/>
              <w:rPr/>
            </w:pPr>
            <w:r>
              <w:rPr/>
              <w:t>​</w:t>
            </w:r>
          </w:p>
        </w:tc>
        <w:tc>
          <w:tcPr>
            <w:tcW w:w="9132"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9132"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9132"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11" w:type="dxa"/>
            <w:tcBorders/>
            <w:vAlign w:val="center"/>
          </w:tcPr>
          <w:p>
            <w:pPr>
              <w:pStyle w:val="TableContents"/>
              <w:bidi w:val="0"/>
              <w:spacing w:before="0" w:after="0"/>
              <w:ind w:left="0" w:right="0" w:hanging="0"/>
              <w:jc w:val="left"/>
              <w:rPr/>
            </w:pPr>
            <w:hyperlink w:anchor="Item4ControlsandProcedures_897667">
              <w:r>
                <w:rPr>
                  <w:rStyle w:val="InternetLink"/>
                  <w:rFonts w:ascii="Times New Roman;Times;serif" w:hAnsi="Times New Roman;Times;serif"/>
                  <w:b w:val="false"/>
                  <w:i w:val="false"/>
                  <w:caps w:val="false"/>
                  <w:smallCaps w:val="false"/>
                  <w:sz w:val="20"/>
                </w:rPr>
                <w:t>Item 4.</w:t>
              </w:r>
            </w:hyperlink>
          </w:p>
        </w:tc>
        <w:tc>
          <w:tcPr>
            <w:tcW w:w="9132" w:type="dxa"/>
            <w:tcBorders/>
            <w:vAlign w:val="center"/>
          </w:tcPr>
          <w:p>
            <w:pPr>
              <w:pStyle w:val="TableContents"/>
              <w:bidi w:val="0"/>
              <w:spacing w:before="0" w:after="0"/>
              <w:ind w:left="0" w:right="0" w:hanging="0"/>
              <w:jc w:val="left"/>
              <w:rPr/>
            </w:pPr>
            <w:hyperlink w:anchor="Item4ControlsandProcedures_897667">
              <w:r>
                <w:rPr>
                  <w:rStyle w:val="InternetLink"/>
                  <w:rFonts w:ascii="Times New Roman;Times;serif" w:hAnsi="Times New Roman;Times;serif"/>
                  <w:b w:val="false"/>
                  <w:i w:val="false"/>
                  <w:caps w:val="false"/>
                  <w:smallCaps w:val="false"/>
                  <w:sz w:val="20"/>
                </w:rPr>
                <w:t>Controls and Procedures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11" w:type="dxa"/>
            <w:tcBorders/>
            <w:vAlign w:val="center"/>
          </w:tcPr>
          <w:p>
            <w:pPr>
              <w:pStyle w:val="TableContents"/>
              <w:bidi w:val="0"/>
              <w:spacing w:before="0" w:after="0"/>
              <w:ind w:left="0" w:right="0" w:hanging="0"/>
              <w:jc w:val="left"/>
              <w:rPr/>
            </w:pPr>
            <w:r>
              <w:rPr/>
              <w:t>​</w:t>
            </w:r>
          </w:p>
        </w:tc>
        <w:tc>
          <w:tcPr>
            <w:tcW w:w="9132"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left"/>
              <w:rPr/>
            </w:pPr>
            <w:hyperlink w:anchor="PARTIIOTHERINFORMATION_669421">
              <w:r>
                <w:rPr>
                  <w:rStyle w:val="InternetLink"/>
                  <w:rFonts w:ascii="Times New Roman;Times;serif" w:hAnsi="Times New Roman;Times;serif"/>
                  <w:b w:val="false"/>
                  <w:i w:val="false"/>
                  <w:caps w:val="false"/>
                  <w:smallCaps w:val="false"/>
                  <w:sz w:val="20"/>
                </w:rPr>
                <w:t>PART II. OTHER INFORMATION</w:t>
              </w:r>
            </w:hyperlink>
          </w:p>
        </w:tc>
        <w:tc>
          <w:tcPr>
            <w:tcW w:w="362"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bidi w:val="0"/>
              <w:spacing w:before="0" w:after="0"/>
              <w:ind w:left="0" w:right="0" w:hanging="0"/>
              <w:jc w:val="left"/>
              <w:rPr/>
            </w:pPr>
            <w:hyperlink w:anchor="Item1LegalProceedings_136582">
              <w:r>
                <w:rPr>
                  <w:rStyle w:val="InternetLink"/>
                  <w:rFonts w:ascii="Times New Roman;Times;serif" w:hAnsi="Times New Roman;Times;serif"/>
                  <w:b w:val="false"/>
                  <w:i w:val="false"/>
                  <w:caps w:val="false"/>
                  <w:smallCaps w:val="false"/>
                  <w:sz w:val="20"/>
                </w:rPr>
                <w:t>Item 1.</w:t>
              </w:r>
            </w:hyperlink>
          </w:p>
        </w:tc>
        <w:tc>
          <w:tcPr>
            <w:tcW w:w="9132" w:type="dxa"/>
            <w:tcBorders/>
            <w:vAlign w:val="center"/>
          </w:tcPr>
          <w:p>
            <w:pPr>
              <w:pStyle w:val="TableContents"/>
              <w:bidi w:val="0"/>
              <w:spacing w:before="0" w:after="0"/>
              <w:ind w:left="0" w:right="0" w:hanging="0"/>
              <w:jc w:val="left"/>
              <w:rPr/>
            </w:pPr>
            <w:hyperlink w:anchor="Item1LegalProceedings_136582">
              <w:r>
                <w:rPr>
                  <w:rStyle w:val="InternetLink"/>
                  <w:rFonts w:ascii="Times New Roman;Times;serif" w:hAnsi="Times New Roman;Times;serif"/>
                  <w:b w:val="false"/>
                  <w:i w:val="false"/>
                  <w:caps w:val="false"/>
                  <w:smallCaps w:val="false"/>
                  <w:sz w:val="20"/>
                </w:rPr>
                <w:t>Legal Proceedings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11" w:type="dxa"/>
            <w:tcBorders/>
            <w:vAlign w:val="center"/>
          </w:tcPr>
          <w:p>
            <w:pPr>
              <w:pStyle w:val="TableContents"/>
              <w:bidi w:val="0"/>
              <w:spacing w:before="0" w:after="0"/>
              <w:ind w:left="0" w:right="0" w:hanging="0"/>
              <w:jc w:val="left"/>
              <w:rPr/>
            </w:pPr>
            <w:hyperlink w:anchor="Item1ARiskFactors_232141">
              <w:r>
                <w:rPr>
                  <w:rStyle w:val="InternetLink"/>
                  <w:rFonts w:ascii="Times New Roman;Times;serif" w:hAnsi="Times New Roman;Times;serif"/>
                  <w:b w:val="false"/>
                  <w:i w:val="false"/>
                  <w:caps w:val="false"/>
                  <w:smallCaps w:val="false"/>
                  <w:sz w:val="20"/>
                </w:rPr>
                <w:t>Item 1A.</w:t>
              </w:r>
            </w:hyperlink>
          </w:p>
        </w:tc>
        <w:tc>
          <w:tcPr>
            <w:tcW w:w="9132" w:type="dxa"/>
            <w:tcBorders/>
            <w:vAlign w:val="center"/>
          </w:tcPr>
          <w:p>
            <w:pPr>
              <w:pStyle w:val="TableContents"/>
              <w:bidi w:val="0"/>
              <w:spacing w:before="0" w:after="0"/>
              <w:ind w:left="0" w:right="0" w:hanging="0"/>
              <w:jc w:val="left"/>
              <w:rPr/>
            </w:pPr>
            <w:hyperlink w:anchor="Item1ARiskFactors_232141">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9132"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11" w:type="dxa"/>
            <w:tcBorders/>
            <w:vAlign w:val="center"/>
          </w:tcPr>
          <w:p>
            <w:pPr>
              <w:pStyle w:val="TableContents"/>
              <w:bidi w:val="0"/>
              <w:spacing w:before="0" w:after="0"/>
              <w:ind w:left="0" w:right="0" w:hanging="0"/>
              <w:jc w:val="left"/>
              <w:rPr/>
            </w:pPr>
            <w:hyperlink w:anchor="Item3DefaultsUponSeniorSecurities_274430">
              <w:r>
                <w:rPr>
                  <w:rStyle w:val="InternetLink"/>
                  <w:rFonts w:ascii="Times New Roman;Times;serif" w:hAnsi="Times New Roman;Times;serif"/>
                  <w:b w:val="false"/>
                  <w:i w:val="false"/>
                  <w:caps w:val="false"/>
                  <w:smallCaps w:val="false"/>
                  <w:sz w:val="20"/>
                </w:rPr>
                <w:t>Item 3.</w:t>
              </w:r>
            </w:hyperlink>
          </w:p>
        </w:tc>
        <w:tc>
          <w:tcPr>
            <w:tcW w:w="9132" w:type="dxa"/>
            <w:tcBorders/>
            <w:vAlign w:val="center"/>
          </w:tcPr>
          <w:p>
            <w:pPr>
              <w:pStyle w:val="TableContents"/>
              <w:bidi w:val="0"/>
              <w:spacing w:before="0" w:after="0"/>
              <w:ind w:left="0" w:right="0" w:hanging="0"/>
              <w:jc w:val="left"/>
              <w:rPr/>
            </w:pPr>
            <w:hyperlink w:anchor="Item3DefaultsUponSeniorSecurities_274430">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11" w:type="dxa"/>
            <w:tcBorders/>
            <w:vAlign w:val="center"/>
          </w:tcPr>
          <w:p>
            <w:pPr>
              <w:pStyle w:val="TableContents"/>
              <w:bidi w:val="0"/>
              <w:spacing w:before="0" w:after="0"/>
              <w:ind w:left="0" w:right="0" w:hanging="0"/>
              <w:jc w:val="left"/>
              <w:rPr/>
            </w:pPr>
            <w:hyperlink w:anchor="Item4MineSafetyDisclosures_234246">
              <w:r>
                <w:rPr>
                  <w:rStyle w:val="InternetLink"/>
                  <w:rFonts w:ascii="Times New Roman;Times;serif" w:hAnsi="Times New Roman;Times;serif"/>
                  <w:b w:val="false"/>
                  <w:i w:val="false"/>
                  <w:caps w:val="false"/>
                  <w:smallCaps w:val="false"/>
                  <w:sz w:val="20"/>
                </w:rPr>
                <w:t>Item 4.</w:t>
              </w:r>
            </w:hyperlink>
          </w:p>
        </w:tc>
        <w:tc>
          <w:tcPr>
            <w:tcW w:w="9132" w:type="dxa"/>
            <w:tcBorders/>
            <w:vAlign w:val="center"/>
          </w:tcPr>
          <w:p>
            <w:pPr>
              <w:pStyle w:val="TableContents"/>
              <w:bidi w:val="0"/>
              <w:spacing w:before="0" w:after="0"/>
              <w:ind w:left="0" w:right="0" w:hanging="0"/>
              <w:jc w:val="left"/>
              <w:rPr/>
            </w:pPr>
            <w:hyperlink w:anchor="Item4MineSafetyDisclosures_234246">
              <w:r>
                <w:rPr>
                  <w:rStyle w:val="InternetLink"/>
                  <w:rFonts w:ascii="Times New Roman;Times;serif" w:hAnsi="Times New Roman;Times;serif"/>
                  <w:b w:val="false"/>
                  <w:i w:val="false"/>
                  <w:caps w:val="false"/>
                  <w:smallCaps w:val="false"/>
                  <w:sz w:val="20"/>
                </w:rPr>
                <w:t>Mine Safety Disclosures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11" w:type="dxa"/>
            <w:tcBorders/>
            <w:vAlign w:val="center"/>
          </w:tcPr>
          <w:p>
            <w:pPr>
              <w:pStyle w:val="TableContents"/>
              <w:bidi w:val="0"/>
              <w:spacing w:before="0" w:after="0"/>
              <w:ind w:left="0" w:right="0" w:hanging="0"/>
              <w:jc w:val="left"/>
              <w:rPr/>
            </w:pPr>
            <w:hyperlink w:anchor="Item5OtherInformation_394466">
              <w:r>
                <w:rPr>
                  <w:rStyle w:val="InternetLink"/>
                  <w:rFonts w:ascii="Times New Roman;Times;serif" w:hAnsi="Times New Roman;Times;serif"/>
                  <w:b w:val="false"/>
                  <w:i w:val="false"/>
                  <w:caps w:val="false"/>
                  <w:smallCaps w:val="false"/>
                  <w:sz w:val="20"/>
                </w:rPr>
                <w:t>Item 5.</w:t>
              </w:r>
            </w:hyperlink>
          </w:p>
        </w:tc>
        <w:tc>
          <w:tcPr>
            <w:tcW w:w="9132" w:type="dxa"/>
            <w:tcBorders/>
            <w:vAlign w:val="center"/>
          </w:tcPr>
          <w:p>
            <w:pPr>
              <w:pStyle w:val="TableContents"/>
              <w:bidi w:val="0"/>
              <w:spacing w:before="0" w:after="0"/>
              <w:ind w:left="0" w:right="0" w:hanging="0"/>
              <w:jc w:val="left"/>
              <w:rPr/>
            </w:pPr>
            <w:hyperlink w:anchor="Item5OtherInformation_394466">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11" w:type="dxa"/>
            <w:tcBorders/>
            <w:vAlign w:val="center"/>
          </w:tcPr>
          <w:p>
            <w:pPr>
              <w:pStyle w:val="TableContents"/>
              <w:bidi w:val="0"/>
              <w:spacing w:before="0" w:after="0"/>
              <w:ind w:left="0" w:right="0" w:hanging="0"/>
              <w:jc w:val="left"/>
              <w:rPr/>
            </w:pPr>
            <w:hyperlink w:anchor="Item6Exhibits_564430">
              <w:r>
                <w:rPr>
                  <w:rStyle w:val="InternetLink"/>
                  <w:rFonts w:ascii="Times New Roman;Times;serif" w:hAnsi="Times New Roman;Times;serif"/>
                  <w:b w:val="false"/>
                  <w:i w:val="false"/>
                  <w:caps w:val="false"/>
                  <w:smallCaps w:val="false"/>
                  <w:sz w:val="20"/>
                </w:rPr>
                <w:t>Item 6.</w:t>
              </w:r>
            </w:hyperlink>
          </w:p>
        </w:tc>
        <w:tc>
          <w:tcPr>
            <w:tcW w:w="9132" w:type="dxa"/>
            <w:tcBorders/>
            <w:vAlign w:val="center"/>
          </w:tcPr>
          <w:p>
            <w:pPr>
              <w:pStyle w:val="TableContents"/>
              <w:bidi w:val="0"/>
              <w:spacing w:before="0" w:after="0"/>
              <w:ind w:left="0" w:right="0" w:hanging="0"/>
              <w:jc w:val="left"/>
              <w:rPr/>
            </w:pPr>
            <w:hyperlink w:anchor="Item6Exhibits_564430">
              <w:r>
                <w:rPr>
                  <w:rStyle w:val="InternetLink"/>
                  <w:rFonts w:ascii="Times New Roman;Times;serif" w:hAnsi="Times New Roman;Times;serif"/>
                  <w:b w:val="false"/>
                  <w:i w:val="false"/>
                  <w:caps w:val="false"/>
                  <w:smallCaps w:val="false"/>
                  <w:sz w:val="20"/>
                </w:rPr>
                <w:t>Exhibits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11" w:type="dxa"/>
            <w:tcBorders/>
            <w:vAlign w:val="center"/>
          </w:tcPr>
          <w:p>
            <w:pPr>
              <w:pStyle w:val="TableContents"/>
              <w:bidi w:val="0"/>
              <w:spacing w:before="0" w:after="0"/>
              <w:ind w:left="0" w:right="0" w:hanging="0"/>
              <w:jc w:val="left"/>
              <w:rPr/>
            </w:pPr>
            <w:r>
              <w:rPr/>
              <w:t>​</w:t>
            </w:r>
          </w:p>
        </w:tc>
        <w:tc>
          <w:tcPr>
            <w:tcW w:w="9132"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left"/>
              <w:rPr/>
            </w:pPr>
            <w:hyperlink w:anchor="SIGNATURES_945741">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47" w:name="_07ba4e02_e616_4959_9471_37c2a5b1300a"/>
      <w:bookmarkEnd w:id="47"/>
      <w:r>
        <w:rPr>
          <w:rFonts w:ascii="Times New Roman;Times;serif" w:hAnsi="Times New Roman;Times;serif"/>
          <w:b/>
          <w:sz w:val="20"/>
        </w:rPr>
        <w:t>Cautionary Note Regarding Forward-Looking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Form10-Q includes forward-looking statements within the meaning of Section 27A of the Securities Act of 1933, as amended, and Section 21E of the Securities Exchange Act of 1934, as amended (the “Exchange Act”). The words “anticipate,” “believe,” “continue,” “could,” “estimate,” “expect,” “intend,” “may,” “might,” “plan,” “project,” “will,” “would,” “seek,” or “should,” or the negative or plural of these words or similar expressions or variations are intended to identify such forward-looking statements. These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Risks and uncertainties that may cause actual results to differ materially from forward-looking statements include, but are not limited to, those identified in our Annual Report on Form 10-K for the year ended December 31, 2024 filed with the U.S. Securities and Exchange Commission in the sections titled “Risk Factor Summary” and “Risk Factors” set forth in Part I, Item 1A thereof, as well as our other filings made from time to time with the U.S. Securities and Exchange Commission filings.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undertake no obligation to update forward-looking statements to reflect actual results or changes in assumptions or circumstances, except as required by applicable law.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48" w:name="PARTIFINANCIALINFORMATION_515957"/>
      <w:bookmarkStart w:id="49" w:name="_20fb4f38_a23f_461f_9196_1efb7abf8262"/>
      <w:bookmarkEnd w:id="48"/>
      <w:bookmarkEnd w:id="49"/>
      <w:r>
        <w:rPr>
          <w:rFonts w:ascii="Times New Roman;Times;serif" w:hAnsi="Times New Roman;Times;serif"/>
          <w:b/>
          <w:sz w:val="20"/>
        </w:rPr>
        <w:t>PART I—FINANCIAL INFORMATION</w:t>
      </w:r>
    </w:p>
    <w:p>
      <w:pPr>
        <w:pStyle w:val="TextBody"/>
        <w:bidi w:val="0"/>
        <w:spacing w:before="0" w:after="160"/>
        <w:ind w:left="0" w:right="0" w:hanging="0"/>
        <w:jc w:val="left"/>
        <w:rPr>
          <w:rFonts w:ascii="Times New Roman;Times;serif" w:hAnsi="Times New Roman;Times;serif"/>
          <w:b/>
          <w:sz w:val="20"/>
        </w:rPr>
      </w:pPr>
      <w:bookmarkStart w:id="50" w:name="Item1FinancialStatements_550132"/>
      <w:bookmarkEnd w:id="50"/>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51" w:name="CONDENSEDCONSOLIDATEDSTATEMENTSOFFINANCI"/>
      <w:bookmarkStart w:id="52" w:name="_Hlk174582074"/>
      <w:bookmarkEnd w:id="51"/>
      <w:bookmarkEnd w:id="52"/>
      <w:r>
        <w:rPr>
          <w:rFonts w:ascii="Times New Roman;Times;serif" w:hAnsi="Times New Roman;Times;serif"/>
          <w:b/>
          <w:sz w:val="20"/>
        </w:rPr>
        <w:t>CONDENSED CONSOLIDATED STATEMENTS OF FINANCIAL CONDITION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3" w:name="Tc_2mdjWKmeF0CEZ5rmX66E4A_39_5"/>
      <w:bookmarkStart w:id="54" w:name="Tc_qBe5wcd-dUqlq1hyuDHBLQ_39_2"/>
      <w:bookmarkStart w:id="55" w:name="Tc_g1w-ehuG5ESCX3Z3hW5j5w_39_0"/>
      <w:bookmarkStart w:id="56" w:name="Tc_eRN3VEbJ8k-7kp7eNVo0ew_37_0"/>
      <w:bookmarkStart w:id="57" w:name="Tc_wgylhwyRAEaFDJ8PtCjRRw_36_6"/>
      <w:bookmarkStart w:id="58" w:name="Tc_cs55mOlWQ02AWQz4ILChBg_36_0"/>
      <w:bookmarkStart w:id="59" w:name="Tc_O3fTui-HbEKha8h4LPSFnQ_35_0"/>
      <w:bookmarkStart w:id="60" w:name="Tc_bFZHYQnDSUeq617Si2ZIoA_34_0"/>
      <w:bookmarkStart w:id="61" w:name="Tc_7FKmz9h-3UWQ5euztP2cdg_33_0"/>
      <w:bookmarkStart w:id="62" w:name="Tc_NaxhGq1k3kqLvuRG8_QHcA_32_0"/>
      <w:bookmarkStart w:id="63" w:name="Tc_eJKb0Xj2qEiwA5GAmPrXBw_31_0"/>
      <w:bookmarkStart w:id="64" w:name="Tc_my9Vm35eHkC-l91VtXPJEA_30_0"/>
      <w:bookmarkStart w:id="65" w:name="Tc_EaIL1DeMb06vWgo2GD5SOg_29_0"/>
      <w:bookmarkStart w:id="66" w:name="Tc_Rafrnve6u0qGW6aTs75SqQ_27_0"/>
      <w:bookmarkStart w:id="67" w:name="Tc_xCKQPgzgW06lkpWtEVu3YA_25_0"/>
      <w:bookmarkStart w:id="68" w:name="Tc_LynOpGpTtk6jr21e0etygA_24_0"/>
      <w:bookmarkStart w:id="69" w:name="Tc_6hia9_8qCEOEiNd99eO6Fw_23_0"/>
      <w:bookmarkStart w:id="70" w:name="Tc_Q15l51H9I0eQFrNN8lNRpA_22_0"/>
      <w:bookmarkStart w:id="71" w:name="Tc_JjwRvhan00WYvhCDSfHzPQ_21_5"/>
      <w:bookmarkStart w:id="72" w:name="Tc_iyTv3N8_x0u9OR_4WcJAyw_21_2"/>
      <w:bookmarkStart w:id="73" w:name="Tc_HpAs6Ge5V0KAoHavvzERhA_21_0"/>
      <w:bookmarkStart w:id="74" w:name="Tc_K1d0qF5rqUOyqbq3As_VUw_20_0"/>
      <w:bookmarkStart w:id="75" w:name="Tc_PVt7ZKw28k-HZ-U5IN2Hbw_18_0"/>
      <w:bookmarkStart w:id="76" w:name="Tc_88tzsnT6cUW00N1aejGiOw_16_5"/>
      <w:bookmarkStart w:id="77" w:name="Tc_VLZ-6h8OmEmkgg4ROLF1TA_16_2"/>
      <w:bookmarkStart w:id="78" w:name="Tc_8gRlbNbMvUW1_89ICIFCJA_16_0"/>
      <w:bookmarkStart w:id="79" w:name="Tc_2RQXMmUb5k2bTzx8AtCGBQ_14_0"/>
      <w:bookmarkStart w:id="80" w:name="Tc_gMtGL31JKkKK09MPbpA4mw_13_0"/>
      <w:bookmarkStart w:id="81" w:name="Tc_P2PWuvWnOkehmpWxBUr70A_12_0"/>
      <w:bookmarkStart w:id="82" w:name="Tc_t2Uk6zbEpUi3ZXZgHj_e2A_11_0"/>
      <w:bookmarkStart w:id="83" w:name="Tc_ll0OEfyZnEyxR-eysVt-6g_10_0"/>
      <w:bookmarkStart w:id="84" w:name="Tc_aQaxMryQsES3jtORgaTadg_9_0"/>
      <w:bookmarkStart w:id="85" w:name="Tc_ymSk5t7AyUC4A511aJowag_8_0"/>
      <w:bookmarkStart w:id="86" w:name="Tc_u7nURBmlDkqz_SWpJ4xbIw_7_0"/>
      <w:bookmarkStart w:id="87" w:name="Tc_jd1VOc5frkCXCFAdwomwgQ_6_0"/>
      <w:bookmarkStart w:id="88" w:name="Tc_FTzOw0IaUU6ZZGOUVs8flA_5_5"/>
      <w:bookmarkStart w:id="89" w:name="Tc_v-G5MMesKE-9tj0gWAqwFw_5_2"/>
      <w:bookmarkStart w:id="90" w:name="Tc_2rG2ImkDJ0GLhOR4m9pC9w_5_0"/>
      <w:bookmarkStart w:id="91" w:name="Tc_LQ6vAtizSEuHPXMYbjVjjA_4_0"/>
      <w:bookmarkStart w:id="92" w:name="Tc_AVVab3oHSE6ZidGz767rHA_3_0"/>
      <w:bookmarkStart w:id="93" w:name="Tc_wFXAAOT_3UChjPjxQAcNEA_2_5"/>
      <w:bookmarkStart w:id="94" w:name="Tc_rmhtBtjAFkyVqs5tOpGweA_2_2"/>
      <w:bookmarkStart w:id="95" w:name="Tc_ZzTbaUlvwkGBFEVyY-XcvQ_1_2"/>
      <w:bookmarkStart w:id="96" w:name="_5230e56f_4ef0_4138_93cb_108e574251d6"/>
      <w:bookmarkStart w:id="97" w:name="Tc_2mdjWKmeF0CEZ5rmX66E4A_39_5"/>
      <w:bookmarkStart w:id="98" w:name="Tc_qBe5wcd-dUqlq1hyuDHBLQ_39_2"/>
      <w:bookmarkStart w:id="99" w:name="Tc_g1w-ehuG5ESCX3Z3hW5j5w_39_0"/>
      <w:bookmarkStart w:id="100" w:name="Tc_eRN3VEbJ8k-7kp7eNVo0ew_37_0"/>
      <w:bookmarkStart w:id="101" w:name="Tc_wgylhwyRAEaFDJ8PtCjRRw_36_6"/>
      <w:bookmarkStart w:id="102" w:name="Tc_cs55mOlWQ02AWQz4ILChBg_36_0"/>
      <w:bookmarkStart w:id="103" w:name="Tc_O3fTui-HbEKha8h4LPSFnQ_35_0"/>
      <w:bookmarkStart w:id="104" w:name="Tc_bFZHYQnDSUeq617Si2ZIoA_34_0"/>
      <w:bookmarkStart w:id="105" w:name="Tc_7FKmz9h-3UWQ5euztP2cdg_33_0"/>
      <w:bookmarkStart w:id="106" w:name="Tc_NaxhGq1k3kqLvuRG8_QHcA_32_0"/>
      <w:bookmarkStart w:id="107" w:name="Tc_eJKb0Xj2qEiwA5GAmPrXBw_31_0"/>
      <w:bookmarkStart w:id="108" w:name="Tc_my9Vm35eHkC-l91VtXPJEA_30_0"/>
      <w:bookmarkStart w:id="109" w:name="Tc_EaIL1DeMb06vWgo2GD5SOg_29_0"/>
      <w:bookmarkStart w:id="110" w:name="Tc_Rafrnve6u0qGW6aTs75SqQ_27_0"/>
      <w:bookmarkStart w:id="111" w:name="Tc_xCKQPgzgW06lkpWtEVu3YA_25_0"/>
      <w:bookmarkStart w:id="112" w:name="Tc_LynOpGpTtk6jr21e0etygA_24_0"/>
      <w:bookmarkStart w:id="113" w:name="Tc_6hia9_8qCEOEiNd99eO6Fw_23_0"/>
      <w:bookmarkStart w:id="114" w:name="Tc_Q15l51H9I0eQFrNN8lNRpA_22_0"/>
      <w:bookmarkStart w:id="115" w:name="Tc_JjwRvhan00WYvhCDSfHzPQ_21_5"/>
      <w:bookmarkStart w:id="116" w:name="Tc_iyTv3N8_x0u9OR_4WcJAyw_21_2"/>
      <w:bookmarkStart w:id="117" w:name="Tc_HpAs6Ge5V0KAoHavvzERhA_21_0"/>
      <w:bookmarkStart w:id="118" w:name="Tc_K1d0qF5rqUOyqbq3As_VUw_20_0"/>
      <w:bookmarkStart w:id="119" w:name="Tc_PVt7ZKw28k-HZ-U5IN2Hbw_18_0"/>
      <w:bookmarkStart w:id="120" w:name="Tc_88tzsnT6cUW00N1aejGiOw_16_5"/>
      <w:bookmarkStart w:id="121" w:name="Tc_VLZ-6h8OmEmkgg4ROLF1TA_16_2"/>
      <w:bookmarkStart w:id="122" w:name="Tc_8gRlbNbMvUW1_89ICIFCJA_16_0"/>
      <w:bookmarkStart w:id="123" w:name="Tc_2RQXMmUb5k2bTzx8AtCGBQ_14_0"/>
      <w:bookmarkStart w:id="124" w:name="Tc_gMtGL31JKkKK09MPbpA4mw_13_0"/>
      <w:bookmarkStart w:id="125" w:name="Tc_P2PWuvWnOkehmpWxBUr70A_12_0"/>
      <w:bookmarkStart w:id="126" w:name="Tc_t2Uk6zbEpUi3ZXZgHj_e2A_11_0"/>
      <w:bookmarkStart w:id="127" w:name="Tc_ll0OEfyZnEyxR-eysVt-6g_10_0"/>
      <w:bookmarkStart w:id="128" w:name="Tc_aQaxMryQsES3jtORgaTadg_9_0"/>
      <w:bookmarkStart w:id="129" w:name="Tc_ymSk5t7AyUC4A511aJowag_8_0"/>
      <w:bookmarkStart w:id="130" w:name="Tc_u7nURBmlDkqz_SWpJ4xbIw_7_0"/>
      <w:bookmarkStart w:id="131" w:name="Tc_jd1VOc5frkCXCFAdwomwgQ_6_0"/>
      <w:bookmarkStart w:id="132" w:name="Tc_FTzOw0IaUU6ZZGOUVs8flA_5_5"/>
      <w:bookmarkStart w:id="133" w:name="Tc_v-G5MMesKE-9tj0gWAqwFw_5_2"/>
      <w:bookmarkStart w:id="134" w:name="Tc_2rG2ImkDJ0GLhOR4m9pC9w_5_0"/>
      <w:bookmarkStart w:id="135" w:name="Tc_LQ6vAtizSEuHPXMYbjVjjA_4_0"/>
      <w:bookmarkStart w:id="136" w:name="Tc_AVVab3oHSE6ZidGz767rHA_3_0"/>
      <w:bookmarkStart w:id="137" w:name="Tc_wFXAAOT_3UChjPjxQAcNEA_2_5"/>
      <w:bookmarkStart w:id="138" w:name="Tc_rmhtBtjAFkyVqs5tOpGweA_2_2"/>
      <w:bookmarkStart w:id="139" w:name="Tc_ZzTbaUlvwkGBFEVyY-XcvQ_1_2"/>
      <w:bookmarkStart w:id="140" w:name="_5230e56f_4ef0_4138_93cb_108e574251d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W w:w="10205" w:type="dxa"/>
        <w:jc w:val="left"/>
        <w:tblInd w:w="0" w:type="dxa"/>
        <w:tblLayout w:type="fixed"/>
        <w:tblCellMar>
          <w:top w:w="0" w:type="dxa"/>
          <w:left w:w="0" w:type="dxa"/>
          <w:bottom w:w="0" w:type="dxa"/>
          <w:right w:w="0" w:type="dxa"/>
        </w:tblCellMar>
      </w:tblPr>
      <w:tblGrid>
        <w:gridCol w:w="6461"/>
        <w:gridCol w:w="326"/>
        <w:gridCol w:w="353"/>
        <w:gridCol w:w="1193"/>
        <w:gridCol w:w="326"/>
        <w:gridCol w:w="335"/>
        <w:gridCol w:w="1211"/>
      </w:tblGrid>
      <w:tr>
        <w:trPr/>
        <w:tc>
          <w:tcPr>
            <w:tcW w:w="6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102735" cy="175260"/>
                      <wp:effectExtent l="0" t="0" r="0" b="0"/>
                      <wp:wrapNone/>
                      <wp:docPr id="5" name="Frame5"/>
                      <a:graphic xmlns:a="http://schemas.openxmlformats.org/drawingml/2006/main">
                        <a:graphicData uri="http://schemas.microsoft.com/office/word/2010/wordprocessingShape">
                          <wps:wsp>
                            <wps:cNvSpPr txBox="1"/>
                            <wps:spPr>
                              <a:xfrm>
                                <a:off x="0" y="0"/>
                                <a:ext cx="410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24155" cy="175260"/>
                      <wp:effectExtent l="0" t="0" r="0" b="0"/>
                      <wp:wrapNone/>
                      <wp:docPr id="7" name="Frame7"/>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57555" cy="175260"/>
                      <wp:effectExtent l="0" t="0" r="0" b="0"/>
                      <wp:wrapNone/>
                      <wp:docPr id="8" name="Frame8"/>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2725" cy="175260"/>
                      <wp:effectExtent l="0" t="0" r="0" b="0"/>
                      <wp:wrapNone/>
                      <wp:docPr id="10" name="Frame1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68985" cy="175260"/>
                      <wp:effectExtent l="0" t="0" r="0" b="0"/>
                      <wp:wrapNone/>
                      <wp:docPr id="11" name="Frame11"/>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left"/>
              <w:rPr/>
            </w:pPr>
            <w:r>
              <w:rPr/>
              <w:t>​</w:t>
            </w:r>
          </w:p>
        </w:tc>
        <w:tc>
          <w:tcPr>
            <w:tcW w:w="1546" w:type="dxa"/>
            <w:gridSpan w:val="2"/>
            <w:tcBorders/>
            <w:vAlign w:val="center"/>
          </w:tcPr>
          <w:p>
            <w:pPr>
              <w:pStyle w:val="TableContents"/>
              <w:bidi w:val="0"/>
              <w:spacing w:before="0" w:after="1"/>
              <w:ind w:left="0" w:right="0" w:hanging="0"/>
              <w:jc w:val="center"/>
              <w:rPr/>
            </w:pPr>
            <w:r>
              <w:rPr/>
              <w:t> </w: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6461"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center"/>
              <w:rPr/>
            </w:pPr>
            <w:r>
              <w:rPr/>
              <w:t>​</w:t>
            </w:r>
          </w:p>
        </w:tc>
        <w:tc>
          <w:tcPr>
            <w:tcW w:w="119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center"/>
              <w:rPr/>
            </w:pPr>
            <w:r>
              <w:rPr/>
              <w:t>​</w:t>
            </w:r>
          </w:p>
        </w:tc>
        <w:tc>
          <w:tcPr>
            <w:tcW w:w="1211" w:type="dxa"/>
            <w:tcBorders/>
            <w:shd w:fill="CCEEFF" w:val="clear"/>
            <w:vAlign w:val="center"/>
          </w:tcPr>
          <w:p>
            <w:pPr>
              <w:pStyle w:val="TableContents"/>
              <w:bidi w:val="0"/>
              <w:spacing w:before="0" w:after="1"/>
              <w:ind w:left="0" w:right="0" w:hanging="0"/>
              <w:jc w:val="center"/>
              <w:rPr/>
            </w:pPr>
            <w:r>
              <w:rPr/>
              <w:t>​</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8,339</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8,486</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net:</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Commission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10,239</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9,198</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Due from clearing broker</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900</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873</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1,207</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938</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389</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599</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 of 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3,258</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3,730</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758</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1,021</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39,839</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39,839</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2,635</w:t>
            </w:r>
          </w:p>
        </w:tc>
        <w:tc>
          <w:tcPr>
            <w:tcW w:w="326" w:type="dxa"/>
            <w:tcBorders/>
            <w:vAlign w:val="center"/>
          </w:tcPr>
          <w:p>
            <w:pPr>
              <w:pStyle w:val="TableContents"/>
              <w:bidi w:val="0"/>
              <w:spacing w:before="0" w:after="1"/>
              <w:ind w:left="0" w:right="0" w:hanging="0"/>
              <w:jc w:val="righ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1,993</w:t>
            </w:r>
          </w:p>
        </w:tc>
      </w:tr>
      <w:tr>
        <w:trPr/>
        <w:tc>
          <w:tcPr>
            <w:tcW w:w="64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1211" w:type="dxa"/>
            <w:tcBorders/>
            <w:shd w:fill="CCEEFF" w:val="clear"/>
            <w:vAlign w:val="center"/>
          </w:tcPr>
          <w:p>
            <w:pPr>
              <w:pStyle w:val="TableContents"/>
              <w:bidi w:val="0"/>
              <w:spacing w:before="0" w:after="1"/>
              <w:ind w:left="0" w:right="0" w:hanging="0"/>
              <w:jc w:val="right"/>
              <w:rPr/>
            </w:pPr>
            <w:r>
              <w:rPr/>
              <w:t>​</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vAlign w:val="center"/>
          </w:tcPr>
          <w:p>
            <w:pPr>
              <w:pStyle w:val="TableContents"/>
              <w:bidi w:val="0"/>
              <w:spacing w:before="0" w:after="1"/>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67,564</w:t>
            </w:r>
          </w:p>
        </w:tc>
        <w:tc>
          <w:tcPr>
            <w:tcW w:w="326" w:type="dxa"/>
            <w:tcBorders/>
            <w:vAlign w:val="center"/>
          </w:tcPr>
          <w:p>
            <w:pPr>
              <w:pStyle w:val="TableContents"/>
              <w:bidi w:val="0"/>
              <w:spacing w:before="0" w:after="1"/>
              <w:ind w:left="0" w:right="0" w:hanging="0"/>
              <w:jc w:val="righ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66,677</w:t>
            </w:r>
          </w:p>
        </w:tc>
      </w:tr>
      <w:tr>
        <w:trPr/>
        <w:tc>
          <w:tcPr>
            <w:tcW w:w="64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1211" w:type="dxa"/>
            <w:tcBorders/>
            <w:shd w:fill="CCEEFF" w:val="clear"/>
            <w:vAlign w:val="center"/>
          </w:tcPr>
          <w:p>
            <w:pPr>
              <w:pStyle w:val="TableContents"/>
              <w:bidi w:val="0"/>
              <w:spacing w:before="0" w:after="1"/>
              <w:ind w:left="0" w:right="0" w:hanging="0"/>
              <w:jc w:val="right"/>
              <w:rPr/>
            </w:pPr>
            <w:r>
              <w:rPr/>
              <w:t>​</w:t>
            </w:r>
          </w:p>
        </w:tc>
      </w:tr>
      <w:tr>
        <w:trPr/>
        <w:tc>
          <w:tcPr>
            <w:tcW w:w="6461" w:type="dxa"/>
            <w:tcBorders/>
            <w:vAlign w:val="center"/>
          </w:tcPr>
          <w:p>
            <w:pPr>
              <w:pStyle w:val="TableContents"/>
              <w:pBdr/>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pPr>
            <w:r>
              <w:rPr/>
              <w:t>  </w:t>
            </w:r>
          </w:p>
        </w:tc>
      </w:tr>
      <w:tr>
        <w:trPr/>
        <w:tc>
          <w:tcPr>
            <w:tcW w:w="64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1211" w:type="dxa"/>
            <w:tcBorders/>
            <w:shd w:fill="CCEEFF" w:val="clear"/>
            <w:vAlign w:val="center"/>
          </w:tcPr>
          <w:p>
            <w:pPr>
              <w:pStyle w:val="TableContents"/>
              <w:bidi w:val="0"/>
              <w:spacing w:before="0" w:after="1"/>
              <w:ind w:left="0" w:right="0" w:hanging="0"/>
              <w:jc w:val="right"/>
              <w:rPr/>
            </w:pPr>
            <w:r>
              <w:rPr/>
              <w:t>​</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pPr>
            <w:r>
              <w:rPr/>
              <w:t>  </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accrued expenses and other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10,520</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10,208</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Commissions payable</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12,104</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11,468</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3,378</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3,820</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Notes payable, net of unamortized debt issuance costs of $627 and $739 as of September 30, 2025 and December 31, 2024, respectively</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18,150</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19,561</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Promissory notes-affiliates</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5,313</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5,442</w: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49,465</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50,499</w: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Mezzanine Equity:</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pPr>
            <w:r>
              <w:rPr/>
              <w:t>  </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Redeemable Series A Convertible Preferred Stock, par value $0.0001, 2,000,000 shares authorized, 1,608,000 and 1,555,000 shares outstanding at September 30, 2025 and December 31, 2024</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15,483</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14,947</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Stockholders’ Equity and Members’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pPr>
            <w:r>
              <w:rPr/>
              <w:t>  </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Series B Convertible Preferred Stock, par value $0.0001, 500,000 shares authorized, 150,000 shares outstanding at September 30, 2025 and December 31, 2024</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$0.0001 par value, 55,000,000 authorized, 16,602,460 issued and outstanding at September 30, 2025 and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pPr>
            <w:r>
              <w:rPr/>
              <w:t>—</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22,383</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22,984</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(21,113)</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(23,253)</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w:t>
            </w:r>
          </w:p>
        </w:tc>
        <w:tc>
          <w:tcPr>
            <w:tcW w:w="326" w:type="dxa"/>
            <w:tcBorders/>
            <w:vAlign w:val="center"/>
          </w:tcPr>
          <w:p>
            <w:pPr>
              <w:pStyle w:val="TableContents"/>
              <w:bidi w:val="0"/>
              <w:spacing w:before="0" w:after="1"/>
              <w:ind w:left="0" w:right="0" w:hanging="0"/>
              <w:jc w:val="righ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Stockholders’ Equity and Mezzanine Equity</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18,099</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16,178</w: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MEZZANINE EQUITY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67,564</w:t>
            </w:r>
          </w:p>
        </w:tc>
        <w:tc>
          <w:tcPr>
            <w:tcW w:w="326" w:type="dxa"/>
            <w:tcBorders/>
            <w:shd w:fill="CCEEFF" w:val="clear"/>
            <w:vAlign w:val="center"/>
          </w:tcPr>
          <w:p>
            <w:pPr>
              <w:pStyle w:val="TableContents"/>
              <w:bidi w:val="0"/>
              <w:spacing w:before="0" w:after="1"/>
              <w:ind w:left="0" w:right="0" w:hanging="0"/>
              <w:jc w:val="righ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66,677</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1" w:name="_c0af2715_6768_49ee_8a4e_368a9dcd5ae5"/>
      <w:bookmarkEnd w:id="141"/>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142" w:name="STATEMENTSOFOPERATIONS_587505"/>
      <w:bookmarkStart w:id="143" w:name="_Hlk174582284"/>
      <w:bookmarkEnd w:id="142"/>
      <w:bookmarkEnd w:id="143"/>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Normal"/>
        <w:bidi w:val="0"/>
        <w:spacing w:before="0" w:after="0"/>
        <w:jc w:val="left"/>
        <w:rPr>
          <w:sz w:val="4"/>
          <w:szCs w:val="4"/>
        </w:rPr>
      </w:pPr>
      <w:r>
        <w:rPr>
          <w:sz w:val="4"/>
          <w:szCs w:val="4"/>
        </w:rPr>
      </w:r>
      <w:bookmarkStart w:id="144" w:name="Tc_f967rUYRIEOp9wDvWS4LWg_38_0"/>
      <w:bookmarkStart w:id="145" w:name="Tc_vBDMUWVqmEeq_IjkT_wTjA_37_0"/>
      <w:bookmarkStart w:id="146" w:name="Tc_vo5D6hGKvUG56bWQmhGRyQ_35_11"/>
      <w:bookmarkStart w:id="147" w:name="Tc_rsB391UwGk27l2ZmIVOLxw_35_8"/>
      <w:bookmarkStart w:id="148" w:name="Tc_3RacFrw8TU6x3Ulx7Q7zJA_35_5"/>
      <w:bookmarkStart w:id="149" w:name="Tc_c6_omsLLL0CW4V32aUMFtg_35_2"/>
      <w:bookmarkStart w:id="150" w:name="Tc_1bhTGgJtCkiwX6KoQpkN0w_35_0"/>
      <w:bookmarkStart w:id="151" w:name="Tc_uvDZes2wxUqJ-VreE3aONA_34_11"/>
      <w:bookmarkStart w:id="152" w:name="Tc_arqw30UfSEyvyXlf-qF68A_34_8"/>
      <w:bookmarkStart w:id="153" w:name="Tc_rDhhAoFju0KUEiwqkGmvlg_34_5"/>
      <w:bookmarkStart w:id="154" w:name="Tc_3I5m5MojP0C2sEoe-ZH4yw_34_2"/>
      <w:bookmarkStart w:id="155" w:name="Tc_SV7zubm840a7kTKU_8b2ZA_34_0"/>
      <w:bookmarkStart w:id="156" w:name="Tc_2JVzFPCDgkigZnAGUjtlyQ_32_5"/>
      <w:bookmarkStart w:id="157" w:name="Tc_RUwk2bUQpUOAUGs094kimQ_32_2"/>
      <w:bookmarkStart w:id="158" w:name="Tc_dmBzkxG5BECh0HbBoHqvow_32_0"/>
      <w:bookmarkStart w:id="159" w:name="Tc_1YBylzzLhUm-3qFc0CgCTg_30_9"/>
      <w:bookmarkStart w:id="160" w:name="Tc_iuuCLbzzU0q62MIDp1yOCw_30_6"/>
      <w:bookmarkStart w:id="161" w:name="Tc_VxbHUIw2PU6qunK4-zEjAQ_30_3"/>
      <w:bookmarkStart w:id="162" w:name="Tc_TbGGkdN6KkmoC-YbmRY1FA_30_0"/>
      <w:bookmarkStart w:id="163" w:name="Tc_1ZhtLPDGY06dbDAcD14BkQ_28_11"/>
      <w:bookmarkStart w:id="164" w:name="Tc_luxpu9xZHECV8TC3mD1yOQ_28_8"/>
      <w:bookmarkStart w:id="165" w:name="Tc_0IGtCb8BU0yDRom2A5M2Jg_28_5"/>
      <w:bookmarkStart w:id="166" w:name="Tc_ejlW6BvMzEyFrQF15C-9_A_28_2"/>
      <w:bookmarkStart w:id="167" w:name="Tc_xRpl7X_gpEau32l5Zc7E0g_28_0"/>
      <w:bookmarkStart w:id="168" w:name="Tc_0lOIW3X6hUO5b4xIAPoB4g_26_0"/>
      <w:bookmarkStart w:id="169" w:name="Tc_otVhMRKnUEuR2LbRt_VG1w_24_0"/>
      <w:bookmarkStart w:id="170" w:name="Tc_z_H_Fiyx10a0Bp2hYSgtWg_22_0"/>
      <w:bookmarkStart w:id="171" w:name="Tc_Seqdy2NrS0SJtjfBElouVQ_20_0"/>
      <w:bookmarkStart w:id="172" w:name="Tc_iMwMqyPQ70Cfd6exKHEqew_19_0"/>
      <w:bookmarkStart w:id="173" w:name="Tc_m501V1DC6kCRSZ5gREAK0A_18_0"/>
      <w:bookmarkStart w:id="174" w:name="Tc_fC6DwVenI0KLssE0cqsjOQ_17_0"/>
      <w:bookmarkStart w:id="175" w:name="Tc_LpwAY2I86kO_m3zqg4vQqQ_16_0"/>
      <w:bookmarkStart w:id="176" w:name="Tc_zQcGDaZiPkaZ-jSmngxdEQ_15_0"/>
      <w:bookmarkStart w:id="177" w:name="Tc_G3gVFwO0zEmdYNvehHfEMw_14_0"/>
      <w:bookmarkStart w:id="178" w:name="Tc_5Y5z9snS20eiUuRYv6Haog_13_0"/>
      <w:bookmarkStart w:id="179" w:name="Tc_s50W2gAtGE6eKOkTGhm3kw_12_0"/>
      <w:bookmarkStart w:id="180" w:name="Tc_d7ncsldkG0OuBCfqgZ_Otw_10_0"/>
      <w:bookmarkStart w:id="181" w:name="Tc_pd1oFCe6sk6TvJ3tIMNyuA_8_0"/>
      <w:bookmarkStart w:id="182" w:name="Tc__DhRAizPqU2rxnznfQGrkQ_7_0"/>
      <w:bookmarkStart w:id="183" w:name="Tc_3cXUqN7HgEaiw66dtZvHnQ_6_0"/>
      <w:bookmarkStart w:id="184" w:name="Tc_Wf3qfCFKykaoUAcffxBx5g_5_11"/>
      <w:bookmarkStart w:id="185" w:name="Tc_0mlUer6A-02YcIEoFOleQQ_5_8"/>
      <w:bookmarkStart w:id="186" w:name="Tc_uxwmNwCAQU-SHTukiC3E-w_5_0"/>
      <w:bookmarkStart w:id="187" w:name="Tc_SvGf3KBPRkGeWmgWHFadmg_4_0"/>
      <w:bookmarkStart w:id="188" w:name="Tc_faEtgTp6hUuWBXdcVQkusA_3_0"/>
      <w:bookmarkStart w:id="189" w:name="Tc_5dPFYUl8mEyqeE4Wf8MRQA_2_11"/>
      <w:bookmarkStart w:id="190" w:name="Tc_AMOOv2UHYUqqqECeyssLgQ_2_8"/>
      <w:bookmarkStart w:id="191" w:name="Tc_V0x0KRWOz0KCYSGJzRVNew_2_5"/>
      <w:bookmarkStart w:id="192" w:name="Tc_1nXtHkdPbUa7ksSInRww4A_2_2"/>
      <w:bookmarkStart w:id="193" w:name="Tc_YKnVz-YLDEmyuSt33M6sFA_1_8"/>
      <w:bookmarkStart w:id="194" w:name="Tc_MTnCUHGD50GmlXQbmmfoEg_1_2"/>
      <w:bookmarkStart w:id="195" w:name="_0aec8668_cbe0_48b8_a5be_c09b4809ce91"/>
      <w:bookmarkStart w:id="196" w:name="Tc_f967rUYRIEOp9wDvWS4LWg_38_0"/>
      <w:bookmarkStart w:id="197" w:name="Tc_vBDMUWVqmEeq_IjkT_wTjA_37_0"/>
      <w:bookmarkStart w:id="198" w:name="Tc_vo5D6hGKvUG56bWQmhGRyQ_35_11"/>
      <w:bookmarkStart w:id="199" w:name="Tc_rsB391UwGk27l2ZmIVOLxw_35_8"/>
      <w:bookmarkStart w:id="200" w:name="Tc_3RacFrw8TU6x3Ulx7Q7zJA_35_5"/>
      <w:bookmarkStart w:id="201" w:name="Tc_c6_omsLLL0CW4V32aUMFtg_35_2"/>
      <w:bookmarkStart w:id="202" w:name="Tc_1bhTGgJtCkiwX6KoQpkN0w_35_0"/>
      <w:bookmarkStart w:id="203" w:name="Tc_uvDZes2wxUqJ-VreE3aONA_34_11"/>
      <w:bookmarkStart w:id="204" w:name="Tc_arqw30UfSEyvyXlf-qF68A_34_8"/>
      <w:bookmarkStart w:id="205" w:name="Tc_rDhhAoFju0KUEiwqkGmvlg_34_5"/>
      <w:bookmarkStart w:id="206" w:name="Tc_3I5m5MojP0C2sEoe-ZH4yw_34_2"/>
      <w:bookmarkStart w:id="207" w:name="Tc_SV7zubm840a7kTKU_8b2ZA_34_0"/>
      <w:bookmarkStart w:id="208" w:name="Tc_2JVzFPCDgkigZnAGUjtlyQ_32_5"/>
      <w:bookmarkStart w:id="209" w:name="Tc_RUwk2bUQpUOAUGs094kimQ_32_2"/>
      <w:bookmarkStart w:id="210" w:name="Tc_dmBzkxG5BECh0HbBoHqvow_32_0"/>
      <w:bookmarkStart w:id="211" w:name="Tc_1YBylzzLhUm-3qFc0CgCTg_30_9"/>
      <w:bookmarkStart w:id="212" w:name="Tc_iuuCLbzzU0q62MIDp1yOCw_30_6"/>
      <w:bookmarkStart w:id="213" w:name="Tc_VxbHUIw2PU6qunK4-zEjAQ_30_3"/>
      <w:bookmarkStart w:id="214" w:name="Tc_TbGGkdN6KkmoC-YbmRY1FA_30_0"/>
      <w:bookmarkStart w:id="215" w:name="Tc_1ZhtLPDGY06dbDAcD14BkQ_28_11"/>
      <w:bookmarkStart w:id="216" w:name="Tc_luxpu9xZHECV8TC3mD1yOQ_28_8"/>
      <w:bookmarkStart w:id="217" w:name="Tc_0IGtCb8BU0yDRom2A5M2Jg_28_5"/>
      <w:bookmarkStart w:id="218" w:name="Tc_ejlW6BvMzEyFrQF15C-9_A_28_2"/>
      <w:bookmarkStart w:id="219" w:name="Tc_xRpl7X_gpEau32l5Zc7E0g_28_0"/>
      <w:bookmarkStart w:id="220" w:name="Tc_0lOIW3X6hUO5b4xIAPoB4g_26_0"/>
      <w:bookmarkStart w:id="221" w:name="Tc_otVhMRKnUEuR2LbRt_VG1w_24_0"/>
      <w:bookmarkStart w:id="222" w:name="Tc_z_H_Fiyx10a0Bp2hYSgtWg_22_0"/>
      <w:bookmarkStart w:id="223" w:name="Tc_Seqdy2NrS0SJtjfBElouVQ_20_0"/>
      <w:bookmarkStart w:id="224" w:name="Tc_iMwMqyPQ70Cfd6exKHEqew_19_0"/>
      <w:bookmarkStart w:id="225" w:name="Tc_m501V1DC6kCRSZ5gREAK0A_18_0"/>
      <w:bookmarkStart w:id="226" w:name="Tc_fC6DwVenI0KLssE0cqsjOQ_17_0"/>
      <w:bookmarkStart w:id="227" w:name="Tc_LpwAY2I86kO_m3zqg4vQqQ_16_0"/>
      <w:bookmarkStart w:id="228" w:name="Tc_zQcGDaZiPkaZ-jSmngxdEQ_15_0"/>
      <w:bookmarkStart w:id="229" w:name="Tc_G3gVFwO0zEmdYNvehHfEMw_14_0"/>
      <w:bookmarkStart w:id="230" w:name="Tc_5Y5z9snS20eiUuRYv6Haog_13_0"/>
      <w:bookmarkStart w:id="231" w:name="Tc_s50W2gAtGE6eKOkTGhm3kw_12_0"/>
      <w:bookmarkStart w:id="232" w:name="Tc_d7ncsldkG0OuBCfqgZ_Otw_10_0"/>
      <w:bookmarkStart w:id="233" w:name="Tc_pd1oFCe6sk6TvJ3tIMNyuA_8_0"/>
      <w:bookmarkStart w:id="234" w:name="Tc__DhRAizPqU2rxnznfQGrkQ_7_0"/>
      <w:bookmarkStart w:id="235" w:name="Tc_3cXUqN7HgEaiw66dtZvHnQ_6_0"/>
      <w:bookmarkStart w:id="236" w:name="Tc_Wf3qfCFKykaoUAcffxBx5g_5_11"/>
      <w:bookmarkStart w:id="237" w:name="Tc_0mlUer6A-02YcIEoFOleQQ_5_8"/>
      <w:bookmarkStart w:id="238" w:name="Tc_uxwmNwCAQU-SHTukiC3E-w_5_0"/>
      <w:bookmarkStart w:id="239" w:name="Tc_SvGf3KBPRkGeWmgWHFadmg_4_0"/>
      <w:bookmarkStart w:id="240" w:name="Tc_faEtgTp6hUuWBXdcVQkusA_3_0"/>
      <w:bookmarkStart w:id="241" w:name="Tc_5dPFYUl8mEyqeE4Wf8MRQA_2_11"/>
      <w:bookmarkStart w:id="242" w:name="Tc_AMOOv2UHYUqqqECeyssLgQ_2_8"/>
      <w:bookmarkStart w:id="243" w:name="Tc_V0x0KRWOz0KCYSGJzRVNew_2_5"/>
      <w:bookmarkStart w:id="244" w:name="Tc_1nXtHkdPbUa7ksSInRww4A_2_2"/>
      <w:bookmarkStart w:id="245" w:name="Tc_YKnVz-YLDEmyuSt33M6sFA_1_8"/>
      <w:bookmarkStart w:id="246" w:name="Tc_MTnCUHGD50GmlXQbmmfoEg_1_2"/>
      <w:bookmarkStart w:id="247" w:name="_0aec8668_cbe0_48b8_a5be_c09b4809ce91"/>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tbl>
      <w:tblPr>
        <w:tblW w:w="10205" w:type="dxa"/>
        <w:jc w:val="left"/>
        <w:tblInd w:w="0" w:type="dxa"/>
        <w:tblLayout w:type="fixed"/>
        <w:tblCellMar>
          <w:top w:w="0" w:type="dxa"/>
          <w:left w:w="0" w:type="dxa"/>
          <w:bottom w:w="0" w:type="dxa"/>
          <w:right w:w="0" w:type="dxa"/>
        </w:tblCellMar>
      </w:tblPr>
      <w:tblGrid>
        <w:gridCol w:w="4538"/>
        <w:gridCol w:w="326"/>
        <w:gridCol w:w="246"/>
        <w:gridCol w:w="790"/>
        <w:gridCol w:w="381"/>
        <w:gridCol w:w="246"/>
        <w:gridCol w:w="802"/>
        <w:gridCol w:w="326"/>
        <w:gridCol w:w="227"/>
        <w:gridCol w:w="844"/>
        <w:gridCol w:w="352"/>
        <w:gridCol w:w="227"/>
        <w:gridCol w:w="900"/>
      </w:tblGrid>
      <w:tr>
        <w:trPr/>
        <w:tc>
          <w:tcPr>
            <w:tcW w:w="4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881630" cy="175260"/>
                      <wp:effectExtent l="0" t="0" r="0" b="0"/>
                      <wp:wrapNone/>
                      <wp:docPr id="12" name="Frame12"/>
                      <a:graphic xmlns:a="http://schemas.openxmlformats.org/drawingml/2006/main">
                        <a:graphicData uri="http://schemas.microsoft.com/office/word/2010/wordprocessingShape">
                          <wps:wsp>
                            <wps:cNvSpPr txBox="1"/>
                            <wps:spPr>
                              <a:xfrm>
                                <a:off x="0" y="0"/>
                                <a:ext cx="2881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56210" cy="175260"/>
                      <wp:effectExtent l="0" t="0" r="0" b="0"/>
                      <wp:wrapNone/>
                      <wp:docPr id="14" name="Frame1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01650" cy="175260"/>
                      <wp:effectExtent l="0" t="0" r="0" b="0"/>
                      <wp:wrapNone/>
                      <wp:docPr id="15" name="Frame15"/>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41935" cy="175260"/>
                      <wp:effectExtent l="0" t="0" r="0" b="0"/>
                      <wp:wrapNone/>
                      <wp:docPr id="16" name="Frame16"/>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56210" cy="175260"/>
                      <wp:effectExtent l="0" t="0" r="0" b="0"/>
                      <wp:wrapNone/>
                      <wp:docPr id="17" name="Frame17"/>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09270" cy="175260"/>
                      <wp:effectExtent l="0" t="0" r="0" b="0"/>
                      <wp:wrapNone/>
                      <wp:docPr id="18" name="Frame18"/>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35940" cy="175260"/>
                      <wp:effectExtent l="0" t="0" r="0" b="0"/>
                      <wp:wrapNone/>
                      <wp:docPr id="20" name="Frame20"/>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23520" cy="175260"/>
                      <wp:effectExtent l="0" t="0" r="0" b="0"/>
                      <wp:wrapNone/>
                      <wp:docPr id="21" name="Frame2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71500" cy="175260"/>
                      <wp:effectExtent l="0" t="0" r="0" b="0"/>
                      <wp:wrapNone/>
                      <wp:docPr id="22" name="Frame2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3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    </w:t>
            </w:r>
          </w:p>
        </w:tc>
        <w:tc>
          <w:tcPr>
            <w:tcW w:w="25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53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1" w:type="dxa"/>
            <w:tcBorders/>
            <w:vAlign w:val="center"/>
          </w:tcPr>
          <w:p>
            <w:pPr>
              <w:pStyle w:val="TableContents"/>
              <w:bidi w:val="0"/>
              <w:spacing w:before="0" w:after="1"/>
              <w:ind w:left="0" w:right="0" w:hanging="0"/>
              <w:jc w:val="left"/>
              <w:rPr/>
            </w:pPr>
            <w:r>
              <w:rPr/>
              <w:t>    </w:t>
            </w:r>
          </w:p>
        </w:tc>
        <w:tc>
          <w:tcPr>
            <w:tcW w:w="10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2" w:type="dxa"/>
            <w:tcBorders/>
            <w:vAlign w:val="center"/>
          </w:tcPr>
          <w:p>
            <w:pPr>
              <w:pStyle w:val="TableContents"/>
              <w:bidi w:val="0"/>
              <w:spacing w:before="0" w:after="1"/>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53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center"/>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center"/>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center"/>
              <w:rPr/>
            </w:pPr>
            <w:r>
              <w:rPr/>
              <w:t>​</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from Contracts with Customers: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pPr>
            <w:r>
              <w:rPr/>
              <w:t>  </w:t>
            </w:r>
          </w:p>
        </w:tc>
        <w:tc>
          <w:tcPr>
            <w:tcW w:w="381" w:type="dxa"/>
            <w:tcBorders/>
            <w:vAlign w:val="center"/>
          </w:tcPr>
          <w:p>
            <w:pPr>
              <w:pStyle w:val="TableContents"/>
              <w:bidi w:val="0"/>
              <w:spacing w:before="0" w:after="1"/>
              <w:ind w:left="0" w:right="0" w:hanging="0"/>
              <w:jc w:val="left"/>
              <w:rPr/>
            </w:pPr>
            <w:r>
              <w:rPr/>
              <w:t> </w:t>
            </w:r>
          </w:p>
        </w:tc>
        <w:tc>
          <w:tcPr>
            <w:tcW w:w="246"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pPr>
            <w:r>
              <w:rPr/>
              <w:t>​</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pPr>
            <w:r>
              <w:rPr/>
              <w:t>​</w:t>
            </w:r>
          </w:p>
        </w:tc>
      </w:tr>
      <w:tr>
        <w:trPr/>
        <w:tc>
          <w:tcPr>
            <w:tcW w:w="45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37,370</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34,780</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112,506</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102,836</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7,407</w:t>
            </w:r>
          </w:p>
        </w:tc>
        <w:tc>
          <w:tcPr>
            <w:tcW w:w="381"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6,247</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20,948</w:t>
            </w:r>
          </w:p>
        </w:tc>
        <w:tc>
          <w:tcPr>
            <w:tcW w:w="352"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18,250</w:t>
            </w:r>
          </w:p>
        </w:tc>
      </w:tr>
      <w:tr>
        <w:trPr/>
        <w:tc>
          <w:tcPr>
            <w:tcW w:w="453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44,777</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41,027</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133,454</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121,086</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1,421</w:t>
            </w:r>
          </w:p>
        </w:tc>
        <w:tc>
          <w:tcPr>
            <w:tcW w:w="381"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3,178</w:t>
            </w:r>
          </w:p>
        </w:tc>
        <w:tc>
          <w:tcPr>
            <w:tcW w:w="352"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3,209</w:t>
            </w:r>
          </w:p>
        </w:tc>
      </w:tr>
      <w:tr>
        <w:trPr/>
        <w:tc>
          <w:tcPr>
            <w:tcW w:w="453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46,198</w:t>
            </w:r>
          </w:p>
        </w:tc>
        <w:tc>
          <w:tcPr>
            <w:tcW w:w="381"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42,197</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136,632</w:t>
            </w:r>
          </w:p>
        </w:tc>
        <w:tc>
          <w:tcPr>
            <w:tcW w:w="352"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124,295</w:t>
            </w:r>
          </w:p>
        </w:tc>
      </w:tr>
      <w:tr>
        <w:trPr/>
        <w:tc>
          <w:tcPr>
            <w:tcW w:w="453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790"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pPr>
            <w:r>
              <w:rPr/>
              <w:t>​</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pPr>
            <w:r>
              <w:rPr/>
              <w:t>​</w:t>
            </w:r>
          </w:p>
        </w:tc>
      </w:tr>
      <w:tr>
        <w:trPr/>
        <w:tc>
          <w:tcPr>
            <w:tcW w:w="45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 and fees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37,202</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33,832</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110,240</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100,839</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4,679</w:t>
            </w:r>
          </w:p>
        </w:tc>
        <w:tc>
          <w:tcPr>
            <w:tcW w:w="38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3,937</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10,988</w:t>
            </w:r>
          </w:p>
        </w:tc>
      </w:tr>
      <w:tr>
        <w:trPr/>
        <w:tc>
          <w:tcPr>
            <w:tcW w:w="45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and occupancy</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w:t>
            </w:r>
          </w:p>
        </w:tc>
        <w:tc>
          <w:tcPr>
            <w:tcW w:w="38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6,059</w:t>
            </w:r>
          </w:p>
        </w:tc>
      </w:tr>
      <w:tr>
        <w:trPr/>
        <w:tc>
          <w:tcPr>
            <w:tcW w:w="45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fees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c>
          <w:tcPr>
            <w:tcW w:w="38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2,632</w:t>
            </w:r>
          </w:p>
        </w:tc>
      </w:tr>
      <w:tr>
        <w:trPr/>
        <w:tc>
          <w:tcPr>
            <w:tcW w:w="45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81"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2,207</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2,551</w:t>
            </w:r>
          </w:p>
        </w:tc>
        <w:tc>
          <w:tcPr>
            <w:tcW w:w="352"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3,394</w:t>
            </w:r>
          </w:p>
        </w:tc>
      </w:tr>
      <w:tr>
        <w:trPr/>
        <w:tc>
          <w:tcPr>
            <w:tcW w:w="453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44,248</w:t>
            </w:r>
          </w:p>
        </w:tc>
        <w:tc>
          <w:tcPr>
            <w:tcW w:w="381"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42,810</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133,785</w:t>
            </w:r>
          </w:p>
        </w:tc>
        <w:tc>
          <w:tcPr>
            <w:tcW w:w="352"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126,872</w:t>
            </w:r>
          </w:p>
        </w:tc>
      </w:tr>
      <w:tr>
        <w:trPr/>
        <w:tc>
          <w:tcPr>
            <w:tcW w:w="453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provision for income taxes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w:t>
            </w:r>
          </w:p>
        </w:tc>
        <w:tc>
          <w:tcPr>
            <w:tcW w:w="38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2,847</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w:t>
            </w:r>
          </w:p>
        </w:tc>
      </w:tr>
      <w:tr>
        <w:trPr/>
        <w:tc>
          <w:tcPr>
            <w:tcW w:w="453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8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w:t>
            </w:r>
          </w:p>
        </w:tc>
      </w:tr>
      <w:tr>
        <w:trPr/>
        <w:tc>
          <w:tcPr>
            <w:tcW w:w="453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w:t>
            </w:r>
          </w:p>
        </w:tc>
        <w:tc>
          <w:tcPr>
            <w:tcW w:w="38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(3,467)</w:t>
            </w:r>
          </w:p>
        </w:tc>
      </w:tr>
      <w:tr>
        <w:trPr/>
        <w:tc>
          <w:tcPr>
            <w:tcW w:w="453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Legacy Wentworth Management Services LLC members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790"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pPr>
            <w:r>
              <w:rPr/>
              <w:t>—</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453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Binah Capital Group, Inc.</w:t>
            </w:r>
          </w:p>
        </w:tc>
        <w:tc>
          <w:tcPr>
            <w:tcW w:w="326"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w:t>
            </w:r>
          </w:p>
        </w:tc>
        <w:tc>
          <w:tcPr>
            <w:tcW w:w="381"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w:t>
            </w:r>
          </w:p>
        </w:tc>
        <w:tc>
          <w:tcPr>
            <w:tcW w:w="352"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(4,197)</w:t>
            </w:r>
          </w:p>
        </w:tc>
      </w:tr>
      <w:tr>
        <w:trPr/>
        <w:tc>
          <w:tcPr>
            <w:tcW w:w="453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common share, basic</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8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(0.30)</w:t>
            </w:r>
          </w:p>
        </w:tc>
      </w:tr>
      <w:tr>
        <w:trPr/>
        <w:tc>
          <w:tcPr>
            <w:tcW w:w="45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common share,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(0.30)</w:t>
            </w:r>
          </w:p>
        </w:tc>
      </w:tr>
      <w:tr>
        <w:trPr/>
        <w:tc>
          <w:tcPr>
            <w:tcW w:w="453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pPr>
            <w:r>
              <w:rPr/>
              <w:t>​</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pPr>
            <w:r>
              <w:rPr/>
              <w:t>​</w:t>
            </w:r>
          </w:p>
        </w:tc>
      </w:tr>
      <w:tr>
        <w:trPr/>
        <w:tc>
          <w:tcPr>
            <w:tcW w:w="45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basic</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16,709</w:t>
            </w:r>
          </w:p>
        </w:tc>
        <w:tc>
          <w:tcPr>
            <w:tcW w:w="38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16,638</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16,588</w:t>
            </w:r>
          </w:p>
        </w:tc>
      </w:tr>
      <w:tr>
        <w:trPr/>
        <w:tc>
          <w:tcPr>
            <w:tcW w:w="453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diluted</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16,720</w:t>
            </w:r>
          </w:p>
        </w:tc>
        <w:tc>
          <w:tcPr>
            <w:tcW w:w="38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16,921</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16,588</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8" w:name="_7eec505c_5bec_41a0_91af_77eb08c93633"/>
      <w:bookmarkEnd w:id="248"/>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sz w:val="20"/>
        </w:rPr>
      </w:pPr>
      <w:bookmarkStart w:id="249" w:name="CondensedConsolidatedStatementsofCompreh"/>
      <w:bookmarkEnd w:id="249"/>
      <w:r>
        <w:rPr>
          <w:rFonts w:ascii="Times New Roman;Times;serif" w:hAnsi="Times New Roman;Times;serif"/>
          <w:b/>
          <w:sz w:val="20"/>
        </w:rPr>
        <w:t>CONDENSED CONSOLIDATED STATEMENTS OF COMPREHENSIVE INCOME</w:t>
      </w:r>
      <w:r>
        <w:rPr>
          <w:rFonts w:ascii="Times New Roman;Times;serif" w:hAnsi="Times New Roman;Times;serif"/>
          <w:sz w:val="20"/>
        </w:rPr>
        <w:t xml:space="preserve"> </w:t>
      </w:r>
      <w:r>
        <w:rPr>
          <w:rFonts w:ascii="Times New Roman;Times;serif" w:hAnsi="Times New Roman;Times;serif"/>
          <w:b/>
          <w:sz w:val="20"/>
        </w:rPr>
        <w:t>(LOSS)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50" w:name="Tc_dWMrr1-nxkumURDT5wLN-w_7_11"/>
      <w:bookmarkStart w:id="251" w:name="Tc_EOKF79fxa0uKsO_A7Y-LGg_7_8"/>
      <w:bookmarkStart w:id="252" w:name="Tc_h5mPD7Qrl0-FJJk1Hrj1rQ_7_5"/>
      <w:bookmarkStart w:id="253" w:name="Tc_YTTwLQ_tukiTVBBq_yYhJw_7_2"/>
      <w:bookmarkStart w:id="254" w:name="Tc_MQ9-C17i7E6IR0YApkuD1Q_7_0"/>
      <w:bookmarkStart w:id="255" w:name="Tc_H33nFNoMa0-IR29x4J-FnA_6_12"/>
      <w:bookmarkStart w:id="256" w:name="Tc_mIF6rATiO0CDHp_bhmp7Vw_6_11"/>
      <w:bookmarkStart w:id="257" w:name="Tc_oGa1pFKkFkukknMvquhvHA_6_8"/>
      <w:bookmarkStart w:id="258" w:name="Tc_LD9rYEkAn0SWdXn4WN-I1A_6_6"/>
      <w:bookmarkStart w:id="259" w:name="Tc_nnT2JYdAbUOX2Tlzcg-e5Q_6_5"/>
      <w:bookmarkStart w:id="260" w:name="Tc_L-PoawKTPUKfAOZFetNGJQ_6_2"/>
      <w:bookmarkStart w:id="261" w:name="Tc_4BOl-iZxyk-w_K5EYvkwLA_6_0"/>
      <w:bookmarkStart w:id="262" w:name="Tc_avsyvgC-k06ZUz95A4JF4Q_5_12"/>
      <w:bookmarkStart w:id="263" w:name="Tc_uKsJmy4Mi06mtSyhJgqBlQ_5_6"/>
      <w:bookmarkStart w:id="264" w:name="Tc_hWedFtIF_kqXkKR9qy6Qlg_5_0"/>
      <w:bookmarkStart w:id="265" w:name="Tc_VNazJKJkOkGRCz4v_N-FqA_4_0"/>
      <w:bookmarkStart w:id="266" w:name="Tc_ZVT-TGB0IkOhyAWRti1Y2Q_3_11"/>
      <w:bookmarkStart w:id="267" w:name="Tc_frj9rwsZaEeW2dWgwB1rsA_3_8"/>
      <w:bookmarkStart w:id="268" w:name="Tc_lTxmbLYSnUawRnWzac-_sw_3_5"/>
      <w:bookmarkStart w:id="269" w:name="Tc_yz64pEemRESSWj5jMB5WCQ_3_2"/>
      <w:bookmarkStart w:id="270" w:name="Tc_WIos4DHPoUKkYRk13viKxw_3_0"/>
      <w:bookmarkStart w:id="271" w:name="Tc_iY6k4DEnv0mH_FvAUZxrPw_2_11"/>
      <w:bookmarkStart w:id="272" w:name="Tc_eDlLr0kbvEiiITj91OvwHA_2_8"/>
      <w:bookmarkStart w:id="273" w:name="Tc_T6htRcQao0KhxBVzpr0Z5g_2_5"/>
      <w:bookmarkStart w:id="274" w:name="Tc_Snj6o3d2N0CMfGrwvbjY6w_2_2"/>
      <w:bookmarkStart w:id="275" w:name="Tc_9eXsjDWzmUuXCgjTDBltaQ_1_8"/>
      <w:bookmarkStart w:id="276" w:name="Tc_KSm0jFpXNkuRs4Lm2MsmRg_1_2"/>
      <w:bookmarkStart w:id="277" w:name="_8ee834d5_790a_4098_90ae_49d88a249b58"/>
      <w:bookmarkStart w:id="278" w:name="Tc_dWMrr1-nxkumURDT5wLN-w_7_11"/>
      <w:bookmarkStart w:id="279" w:name="Tc_EOKF79fxa0uKsO_A7Y-LGg_7_8"/>
      <w:bookmarkStart w:id="280" w:name="Tc_h5mPD7Qrl0-FJJk1Hrj1rQ_7_5"/>
      <w:bookmarkStart w:id="281" w:name="Tc_YTTwLQ_tukiTVBBq_yYhJw_7_2"/>
      <w:bookmarkStart w:id="282" w:name="Tc_MQ9-C17i7E6IR0YApkuD1Q_7_0"/>
      <w:bookmarkStart w:id="283" w:name="Tc_H33nFNoMa0-IR29x4J-FnA_6_12"/>
      <w:bookmarkStart w:id="284" w:name="Tc_mIF6rATiO0CDHp_bhmp7Vw_6_11"/>
      <w:bookmarkStart w:id="285" w:name="Tc_oGa1pFKkFkukknMvquhvHA_6_8"/>
      <w:bookmarkStart w:id="286" w:name="Tc_LD9rYEkAn0SWdXn4WN-I1A_6_6"/>
      <w:bookmarkStart w:id="287" w:name="Tc_nnT2JYdAbUOX2Tlzcg-e5Q_6_5"/>
      <w:bookmarkStart w:id="288" w:name="Tc_L-PoawKTPUKfAOZFetNGJQ_6_2"/>
      <w:bookmarkStart w:id="289" w:name="Tc_4BOl-iZxyk-w_K5EYvkwLA_6_0"/>
      <w:bookmarkStart w:id="290" w:name="Tc_avsyvgC-k06ZUz95A4JF4Q_5_12"/>
      <w:bookmarkStart w:id="291" w:name="Tc_uKsJmy4Mi06mtSyhJgqBlQ_5_6"/>
      <w:bookmarkStart w:id="292" w:name="Tc_hWedFtIF_kqXkKR9qy6Qlg_5_0"/>
      <w:bookmarkStart w:id="293" w:name="Tc_VNazJKJkOkGRCz4v_N-FqA_4_0"/>
      <w:bookmarkStart w:id="294" w:name="Tc_ZVT-TGB0IkOhyAWRti1Y2Q_3_11"/>
      <w:bookmarkStart w:id="295" w:name="Tc_frj9rwsZaEeW2dWgwB1rsA_3_8"/>
      <w:bookmarkStart w:id="296" w:name="Tc_lTxmbLYSnUawRnWzac-_sw_3_5"/>
      <w:bookmarkStart w:id="297" w:name="Tc_yz64pEemRESSWj5jMB5WCQ_3_2"/>
      <w:bookmarkStart w:id="298" w:name="Tc_WIos4DHPoUKkYRk13viKxw_3_0"/>
      <w:bookmarkStart w:id="299" w:name="Tc_iY6k4DEnv0mH_FvAUZxrPw_2_11"/>
      <w:bookmarkStart w:id="300" w:name="Tc_eDlLr0kbvEiiITj91OvwHA_2_8"/>
      <w:bookmarkStart w:id="301" w:name="Tc_T6htRcQao0KhxBVzpr0Z5g_2_5"/>
      <w:bookmarkStart w:id="302" w:name="Tc_Snj6o3d2N0CMfGrwvbjY6w_2_2"/>
      <w:bookmarkStart w:id="303" w:name="Tc_9eXsjDWzmUuXCgjTDBltaQ_1_8"/>
      <w:bookmarkStart w:id="304" w:name="Tc_KSm0jFpXNkuRs4Lm2MsmRg_1_2"/>
      <w:bookmarkStart w:id="305" w:name="_8ee834d5_790a_4098_90ae_49d88a249b58"/>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tbl>
      <w:tblPr>
        <w:tblW w:w="9558" w:type="dxa"/>
        <w:jc w:val="left"/>
        <w:tblInd w:w="0" w:type="dxa"/>
        <w:tblLayout w:type="fixed"/>
        <w:tblCellMar>
          <w:top w:w="0" w:type="dxa"/>
          <w:left w:w="0" w:type="dxa"/>
          <w:bottom w:w="0" w:type="dxa"/>
          <w:right w:w="0" w:type="dxa"/>
        </w:tblCellMar>
      </w:tblPr>
      <w:tblGrid>
        <w:gridCol w:w="3496"/>
        <w:gridCol w:w="326"/>
        <w:gridCol w:w="286"/>
        <w:gridCol w:w="775"/>
        <w:gridCol w:w="442"/>
        <w:gridCol w:w="286"/>
        <w:gridCol w:w="938"/>
        <w:gridCol w:w="326"/>
        <w:gridCol w:w="275"/>
        <w:gridCol w:w="746"/>
        <w:gridCol w:w="426"/>
        <w:gridCol w:w="275"/>
        <w:gridCol w:w="96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219960" cy="175260"/>
                      <wp:effectExtent l="0" t="0" r="0" b="0"/>
                      <wp:wrapNone/>
                      <wp:docPr id="23" name="Frame23"/>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81610" cy="175260"/>
                      <wp:effectExtent l="0" t="0" r="0" b="0"/>
                      <wp:wrapNone/>
                      <wp:docPr id="25" name="Frame2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92125" cy="175260"/>
                      <wp:effectExtent l="0" t="0" r="0" b="0"/>
                      <wp:wrapNone/>
                      <wp:docPr id="26" name="Frame26"/>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80670" cy="175260"/>
                      <wp:effectExtent l="0" t="0" r="0" b="0"/>
                      <wp:wrapNone/>
                      <wp:docPr id="27" name="Frame2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81610" cy="175260"/>
                      <wp:effectExtent l="0" t="0" r="0" b="0"/>
                      <wp:wrapNone/>
                      <wp:docPr id="28" name="Frame2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95630" cy="175260"/>
                      <wp:effectExtent l="0" t="0" r="0" b="0"/>
                      <wp:wrapNone/>
                      <wp:docPr id="29" name="Frame29"/>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74625" cy="175260"/>
                      <wp:effectExtent l="0" t="0" r="0" b="0"/>
                      <wp:wrapNone/>
                      <wp:docPr id="31" name="Frame31"/>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73710" cy="175260"/>
                      <wp:effectExtent l="0" t="0" r="0" b="0"/>
                      <wp:wrapNone/>
                      <wp:docPr id="32" name="Frame32"/>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70510" cy="175260"/>
                      <wp:effectExtent l="0" t="0" r="0" b="0"/>
                      <wp:wrapNone/>
                      <wp:docPr id="33" name="Frame33"/>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74625" cy="175260"/>
                      <wp:effectExtent l="0" t="0" r="0" b="0"/>
                      <wp:wrapNone/>
                      <wp:docPr id="34" name="Frame34"/>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10235" cy="175260"/>
                      <wp:effectExtent l="0" t="0" r="0" b="0"/>
                      <wp:wrapNone/>
                      <wp:docPr id="35" name="Frame3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center"/>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2" w:type="dxa"/>
            <w:tcBorders/>
            <w:vAlign w:val="center"/>
          </w:tcPr>
          <w:p>
            <w:pPr>
              <w:pStyle w:val="TableContents"/>
              <w:bidi w:val="0"/>
              <w:spacing w:before="0" w:after="0"/>
              <w:ind w:left="0" w:right="0" w:hanging="0"/>
              <w:jc w:val="center"/>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6" w:type="dxa"/>
            <w:tcBorders/>
            <w:vAlign w:val="center"/>
          </w:tcPr>
          <w:p>
            <w:pPr>
              <w:pStyle w:val="TableContents"/>
              <w:bidi w:val="0"/>
              <w:spacing w:before="0" w:after="0"/>
              <w:ind w:left="0" w:right="0" w:hanging="0"/>
              <w:jc w:val="center"/>
              <w:rPr/>
            </w:pPr>
            <w:r>
              <w:rPr/>
              <w:t>    </w:t>
            </w:r>
          </w:p>
        </w:tc>
        <w:tc>
          <w:tcPr>
            <w:tcW w:w="12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1,760</w:t>
            </w:r>
          </w:p>
        </w:tc>
        <w:tc>
          <w:tcPr>
            <w:tcW w:w="442"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w:t>
            </w:r>
          </w:p>
        </w:tc>
        <w:tc>
          <w:tcPr>
            <w:tcW w:w="4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(4,197)</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w:t>
            </w:r>
          </w:p>
        </w:tc>
        <w:tc>
          <w:tcPr>
            <w:tcW w:w="4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of interest rate swap</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42"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4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w:t>
            </w:r>
          </w:p>
        </w:tc>
        <w:tc>
          <w:tcPr>
            <w:tcW w:w="32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42"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4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1,758</w:t>
            </w:r>
          </w:p>
        </w:tc>
        <w:tc>
          <w:tcPr>
            <w:tcW w:w="442"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w:t>
            </w:r>
          </w:p>
        </w:tc>
        <w:tc>
          <w:tcPr>
            <w:tcW w:w="42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(4,197)</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6" w:name="_86d6c311_b2e0_4cf6_8e8a_86175ff933f0"/>
      <w:bookmarkEnd w:id="306"/>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307" w:name="STOCKHOLDERSEQUITY_558661"/>
      <w:bookmarkStart w:id="308" w:name="_Hlk174582097"/>
      <w:bookmarkEnd w:id="307"/>
      <w:bookmarkEnd w:id="308"/>
      <w:r>
        <w:rPr>
          <w:rFonts w:ascii="Times New Roman;Times;serif" w:hAnsi="Times New Roman;Times;serif"/>
          <w:b/>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09" w:name="Tc_7urDuv8gakKX-vjfSbGRJw_44_27"/>
      <w:bookmarkStart w:id="310" w:name="Tc_YsS5JWeZ5UCIwymanUnm1w_44_24"/>
      <w:bookmarkStart w:id="311" w:name="Tc_odeTMzJbuUqBzdtAN50uEQ_44_21"/>
      <w:bookmarkStart w:id="312" w:name="Tc_rZWr95mmUUKRKtzYHRK2vQ_44_19"/>
      <w:bookmarkStart w:id="313" w:name="Tc_RDLKGy4V6US9o58PbjhlGQ_44_18"/>
      <w:bookmarkStart w:id="314" w:name="Tc_-gilROd5h06nFZLjfHzGxw_44_13"/>
      <w:bookmarkStart w:id="315" w:name="Tc_rAyztukkHUG3WUyArLBa0A_44_7"/>
      <w:bookmarkStart w:id="316" w:name="Tc_JG9yXMovM0a5SOJ5aYTnEA_44_3"/>
      <w:bookmarkStart w:id="317" w:name="Tc_T5RwdrMe5UC4LiT6cRUxNQ_44_2"/>
      <w:bookmarkStart w:id="318" w:name="Tc_84BSJs5nz0ytrNN__BCmxw_44_0"/>
      <w:bookmarkStart w:id="319" w:name="Tc_E2hLmtvKvk2qfFwRA__FMQ_42_22"/>
      <w:bookmarkStart w:id="320" w:name="Tc_TvHmQ0wXbkiLseFJbSlMGQ_42_19"/>
      <w:bookmarkStart w:id="321" w:name="Tc_GKr0SvdWxUK9Kf0otN4-Wg_42_16"/>
      <w:bookmarkStart w:id="322" w:name="Tc_L4xYwNUWL0CCfK5oQyZgIQ_42_14"/>
      <w:bookmarkStart w:id="323" w:name="Tc_CSPjF4jOoECrdLfDpVPNFQ_42_11"/>
      <w:bookmarkStart w:id="324" w:name="Tc_pHhCFdoygEaBtVWCxJyFTg_42_8"/>
      <w:bookmarkStart w:id="325" w:name="Tc_engKgxJofEO0buh85hCV5g_42_5"/>
      <w:bookmarkStart w:id="326" w:name="Tc_BX4SieLTLUa387y44ECqtA_42_3"/>
      <w:bookmarkStart w:id="327" w:name="Tc_-P0PzEqON0umI09uPTRJsw_42_0"/>
      <w:bookmarkStart w:id="328" w:name="Tc_Rl7Eo953iUOCjwRkLP5nQA_40_25"/>
      <w:bookmarkStart w:id="329" w:name="Tc_WJcs_2qnwEGiA4r4qn78ig_40_19"/>
      <w:bookmarkStart w:id="330" w:name="Tc_RTDFA3jR0kq_JAtBqbrBMA_40_16"/>
      <w:bookmarkStart w:id="331" w:name="Tc_IndyulAWwE-FsMj62okeiA_40_14"/>
      <w:bookmarkStart w:id="332" w:name="Tc_4dvQtKaMdkWwUfrYueCnUg_40_11"/>
      <w:bookmarkStart w:id="333" w:name="Tc_ulOCeL8ZZEa7XhKsvOMCHg_40_8"/>
      <w:bookmarkStart w:id="334" w:name="Tc_34BHhYT_z0mhWpuULRCRqw_40_5"/>
      <w:bookmarkStart w:id="335" w:name="Tc_OEm2xBiAME6bROtsey4xUw_40_3"/>
      <w:bookmarkStart w:id="336" w:name="Tc_Yy_uDeGiUk2nlgQqMwmXLQ_40_0"/>
      <w:bookmarkStart w:id="337" w:name="Tc_CXG6liwJ-E-ZY3zlsvrQTg_38_25"/>
      <w:bookmarkStart w:id="338" w:name="Tc_QkppiQJntEKRVoGPxRfFjQ_38_22"/>
      <w:bookmarkStart w:id="339" w:name="Tc_ulvgGB6RmE-BVumm224whA_38_19"/>
      <w:bookmarkStart w:id="340" w:name="Tc_gDOP9cKRTkezyQW50H_wGQ_38_16"/>
      <w:bookmarkStart w:id="341" w:name="Tc_mGNBgOXMk0GEjES493AK8A_38_8"/>
      <w:bookmarkStart w:id="342" w:name="Tc_3UVsQ0FB90a9fz_CVcjm8w_38_5"/>
      <w:bookmarkStart w:id="343" w:name="Tc_pX0DQQkaQUmYuNIxW5xIHg_38_3"/>
      <w:bookmarkStart w:id="344" w:name="Tc_welZX7rHiUmQ50lg3FMGkA_38_0"/>
      <w:bookmarkStart w:id="345" w:name="Tc_Q7LzbDtHfkKWI2g-dLu7qA_36_25"/>
      <w:bookmarkStart w:id="346" w:name="Tc_tiS5YPJVZUuujC8i8U_uiQ_36_22"/>
      <w:bookmarkStart w:id="347" w:name="Tc_CX3SgtkkDkmNmOAF8J7eiQ_36_19"/>
      <w:bookmarkStart w:id="348" w:name="Tc_jAkO050tAU6nx5RxeVZULQ_36_16"/>
      <w:bookmarkStart w:id="349" w:name="Tc_ahDDHF_CZEiYN0YmbHbGwg_36_14"/>
      <w:bookmarkStart w:id="350" w:name="Tc_9usMSt_MjUui3BlsepLEww_36_11"/>
      <w:bookmarkStart w:id="351" w:name="Tc_QUrHguOZTUyTxrIDrgntcQ_36_3"/>
      <w:bookmarkStart w:id="352" w:name="Tc_xCf_2Ys360eeoJELFkoXVg_36_0"/>
      <w:bookmarkStart w:id="353" w:name="Tc_UhwyidDwuUSy6To0R-Lodw_34_27"/>
      <w:bookmarkStart w:id="354" w:name="Tc_jSni5BRK5k6VdT3k-0M-vg_34_24"/>
      <w:bookmarkStart w:id="355" w:name="Tc_jWm9JVF5QEKu_Tr4jVVJrA_34_21"/>
      <w:bookmarkStart w:id="356" w:name="Tc_5y-vT4dgLk22DQRJ6eBGLg_34_19"/>
      <w:bookmarkStart w:id="357" w:name="Tc_VxipZrBkWE27dxK6Zxxw4A_34_18"/>
      <w:bookmarkStart w:id="358" w:name="Tc_JloKwLEf10WndRbTlY3Dzg_34_14"/>
      <w:bookmarkStart w:id="359" w:name="Tc_SCAZ_BYF0kOBOmcaQ7AFZg_34_13"/>
      <w:bookmarkStart w:id="360" w:name="Tc_MMVVUWhHbUiDKvh_k62fgA_34_11"/>
      <w:bookmarkStart w:id="361" w:name="Tc_zdl7UK3YPU2UZNmf0ktMqQ_34_10"/>
      <w:bookmarkStart w:id="362" w:name="Tc_dfIuPBxhD0K4WmTMo7TKsg_34_7"/>
      <w:bookmarkStart w:id="363" w:name="Tc_QkIJmATcJU-7yfwsdqFZVQ_34_3"/>
      <w:bookmarkStart w:id="364" w:name="Tc_MTtuXOBEOESMxQiEQaw7ng_34_0"/>
      <w:bookmarkStart w:id="365" w:name="Tc_AnsBrJBqWEOGTfoszeiszQ_32_22"/>
      <w:bookmarkStart w:id="366" w:name="Tc_grpp_PF_DUyq3ZHdH3sIbA_32_19"/>
      <w:bookmarkStart w:id="367" w:name="Tc_r77q1Uf9E0mTV9LCwNYjRA_32_16"/>
      <w:bookmarkStart w:id="368" w:name="Tc_It9L-iVGCEC-rfgdqdzjCw_32_14"/>
      <w:bookmarkStart w:id="369" w:name="Tc_ntkcF3x9H0K1oIMQK0lH3A_32_11"/>
      <w:bookmarkStart w:id="370" w:name="Tc_dlA1AmTGxUaDgEnIFi57xg_32_8"/>
      <w:bookmarkStart w:id="371" w:name="Tc_wGqyRsZAGkSn-xF0l_lsTQ_32_5"/>
      <w:bookmarkStart w:id="372" w:name="Tc_pUZHJtmZaU-6qEPiXWn7gA_32_3"/>
      <w:bookmarkStart w:id="373" w:name="Tc_h74377FCYk2ls38d9OZIiA_32_0"/>
      <w:bookmarkStart w:id="374" w:name="Tc_lKVXCUug7Eis8-RFcNVX-w_30_25"/>
      <w:bookmarkStart w:id="375" w:name="Tc_MmWKtjkUWk2nZpxX6N7F-A_30_19"/>
      <w:bookmarkStart w:id="376" w:name="Tc_AeU0I4WAJUW9fwNl2GQIvQ_30_14"/>
      <w:bookmarkStart w:id="377" w:name="Tc_VQVmzw69SEqiH_bSdRpFjw_30_11"/>
      <w:bookmarkStart w:id="378" w:name="Tc_nDOI1CIdSESIcpt0DhLQrA_30_8"/>
      <w:bookmarkStart w:id="379" w:name="Tc_6LQv7tYQLkWt6Rb_5InNsw_30_5"/>
      <w:bookmarkStart w:id="380" w:name="Tc_rdkFPSssAE-6HiO2pUwRVw_30_3"/>
      <w:bookmarkStart w:id="381" w:name="Tc_HI2rhNd6ck6YFq_6T9_Q1A_30_0"/>
      <w:bookmarkStart w:id="382" w:name="Tc_JpuI3vGm3keG-P152HKM_w_28_25"/>
      <w:bookmarkStart w:id="383" w:name="Tc_a_puTDUzkEmshKRrh5AlPg_28_19"/>
      <w:bookmarkStart w:id="384" w:name="Tc_bwV2Tgr-90aGXOETWh2YwA_28_16"/>
      <w:bookmarkStart w:id="385" w:name="Tc_OUQW3CGv3Ua3VV2Gt2nwDg_28_14"/>
      <w:bookmarkStart w:id="386" w:name="Tc_Fda2HHruh0aiZOHq3SbDXQ_28_11"/>
      <w:bookmarkStart w:id="387" w:name="Tc_EsLp-IFiMkujjUTA64G1Ow_28_8"/>
      <w:bookmarkStart w:id="388" w:name="Tc_EHLy2jFS2kyvjVcXmV2cxg_28_5"/>
      <w:bookmarkStart w:id="389" w:name="Tc_73eP4awjcUSQJheH91B_yw_28_3"/>
      <w:bookmarkStart w:id="390" w:name="Tc_7wtoC0yTcEu7pPCxyPvDEg_28_0"/>
      <w:bookmarkStart w:id="391" w:name="Tc_rqrqVx28Y0CWHHnPamsm-g_26_25"/>
      <w:bookmarkStart w:id="392" w:name="Tc_Btn6edo2u0yFdKVYwbZnTg_26_22"/>
      <w:bookmarkStart w:id="393" w:name="Tc_X0ZIlyBC9EG7uFsqAmLAiQ_26_19"/>
      <w:bookmarkStart w:id="394" w:name="Tc_8kgeGftt6kyM39FqJq1ceg_26_16"/>
      <w:bookmarkStart w:id="395" w:name="Tc_MjLUxrgSP0O-snSLMrX8kQ_26_14"/>
      <w:bookmarkStart w:id="396" w:name="Tc_GgWSN4ISYUmqxQgFoQsE4A_26_11"/>
      <w:bookmarkStart w:id="397" w:name="Tc_Lb3bMePJy0W1z6TH48lMtA_26_3"/>
      <w:bookmarkStart w:id="398" w:name="Tc_3RqIlmlUpUiQZh7U3YOgAA_26_0"/>
      <w:bookmarkStart w:id="399" w:name="Tc_m08DjBAw0U2ndMICc1Rzng_24_27"/>
      <w:bookmarkStart w:id="400" w:name="Tc_cKIL_aOAyEycltqFensPPQ_24_24"/>
      <w:bookmarkStart w:id="401" w:name="Tc_LxC-9HIg0kmtNDiA3DHZxw_24_21"/>
      <w:bookmarkStart w:id="402" w:name="Tc_DbArBUJBI0yoJC9IVq98LA_24_19"/>
      <w:bookmarkStart w:id="403" w:name="Tc_AJM5bn6i0Eye2VVmwXJWvw_24_18"/>
      <w:bookmarkStart w:id="404" w:name="Tc_0JjvgeWwPkK3Bd2RhbaITA_24_14"/>
      <w:bookmarkStart w:id="405" w:name="Tc_XN8qWX9HjkSb6o3Hdf13Zg_24_13"/>
      <w:bookmarkStart w:id="406" w:name="Tc_biCSkQUtP0OeqikuDr11vg_24_11"/>
      <w:bookmarkStart w:id="407" w:name="Tc_3icWy_qxrk-rFyo_ADd_Ag_24_10"/>
      <w:bookmarkStart w:id="408" w:name="Tc_qUKesgtBbkSlt0pawIxlzQ_24_7"/>
      <w:bookmarkStart w:id="409" w:name="Tc_B6yVfB4gH02WGFohMrkWHA_24_3"/>
      <w:bookmarkStart w:id="410" w:name="Tc_Oruw7BfC70yGEL9tm6KIzQ_24_2"/>
      <w:bookmarkStart w:id="411" w:name="Tc_bL9N1xkVZUqIqBBIRdH3Lg_24_0"/>
      <w:bookmarkStart w:id="412" w:name="Tc_y8BvvinCqUuMQWr3f36Zug_22_22"/>
      <w:bookmarkStart w:id="413" w:name="Tc_oenxUZNzMEK05RVU0es8nQ_22_19"/>
      <w:bookmarkStart w:id="414" w:name="Tc_WSe_RmqqTkK-ZXJj3woy5Q_22_16"/>
      <w:bookmarkStart w:id="415" w:name="Tc_ZncvLCWCb0mc8CsGWYej_g_22_14"/>
      <w:bookmarkStart w:id="416" w:name="Tc_nAxedQem806hlbOgkCYVJg_22_11"/>
      <w:bookmarkStart w:id="417" w:name="Tc_-2HrsAPAD0egHgQTzeHXEA_22_8"/>
      <w:bookmarkStart w:id="418" w:name="Tc_lAasrhhk8UOYf0fdn9LuKQ_22_5"/>
      <w:bookmarkStart w:id="419" w:name="Tc_iyOKD3aLL06TlqrQkz3LsQ_22_3"/>
      <w:bookmarkStart w:id="420" w:name="Tc_6gwVfiOSREiioe9m3rDjXg_22_0"/>
      <w:bookmarkStart w:id="421" w:name="Tc_80wFNoRH4EOQ2gcdXiqjFQ_20_25"/>
      <w:bookmarkStart w:id="422" w:name="Tc_JI3kwmsq80-OjTzTcPHCjA_20_22"/>
      <w:bookmarkStart w:id="423" w:name="Tc_0J6Z-LPf3U6nAJNwW37aCA_20_19"/>
      <w:bookmarkStart w:id="424" w:name="Tc_KT1FbiguNkCamUZTwYTSFA_20_16"/>
      <w:bookmarkStart w:id="425" w:name="Tc_LvC066IN5UaPjxAa4F9LuA_20_14"/>
      <w:bookmarkStart w:id="426" w:name="Tc_7WKhyABG6EehKoNt-__gMg_20_11"/>
      <w:bookmarkStart w:id="427" w:name="Tc_XXubYfSNzEK689TarxiKuw_20_3"/>
      <w:bookmarkStart w:id="428" w:name="Tc_wnGUbdsJpUSDjiq3puzVVg_20_0"/>
      <w:bookmarkStart w:id="429" w:name="Tc_ZNm9RsC2rUq0MGV2v6qGmw_18_19"/>
      <w:bookmarkStart w:id="430" w:name="Tc_zat612BBMUCKFlGHk_x0gA_18_14"/>
      <w:bookmarkStart w:id="431" w:name="Tc_SRRl_jQ240imm7c4oj31IA_18_11"/>
      <w:bookmarkStart w:id="432" w:name="Tc__HQMbI9zvEarTEe7yIEx7g_18_8"/>
      <w:bookmarkStart w:id="433" w:name="Tc_jzt4-rP-VESdTlgQ4Wz7kg_18_5"/>
      <w:bookmarkStart w:id="434" w:name="Tc_4Sg7jtOISU-vkTnoJb4XhA_18_0"/>
      <w:bookmarkStart w:id="435" w:name="Tc_WakkR48iKki4XPFZAsooSA_16_25"/>
      <w:bookmarkStart w:id="436" w:name="Tc_3wvqakSvhUaKPAsTebc4dg_16_22"/>
      <w:bookmarkStart w:id="437" w:name="Tc_eLg9hfN-Z0WnvPyubEraog_16_19"/>
      <w:bookmarkStart w:id="438" w:name="Tc_XtoS5EQAjUydwwGxJEkgxQ_16_16"/>
      <w:bookmarkStart w:id="439" w:name="Tc_p_TX7A4Q9keZh-En_oYZGw_16_14"/>
      <w:bookmarkStart w:id="440" w:name="Tc_UPIUnTBRpECejRSK-H-aXA_16_11"/>
      <w:bookmarkStart w:id="441" w:name="Tc_6l-2FDDGlU-lNnsfWyrLkw_16_8"/>
      <w:bookmarkStart w:id="442" w:name="Tc_YxhQUoHS00y2oOGWXnAyHw_16_5"/>
      <w:bookmarkStart w:id="443" w:name="Tc_QFYH9x0cgkC2s8EOcaMnYg_16_0"/>
      <w:bookmarkStart w:id="444" w:name="Tc_YnT9dhgwpkuryiT8LRzfVA_14_25"/>
      <w:bookmarkStart w:id="445" w:name="Tc_LoiQvDWsMUmiXWooVpvqGw_14_22"/>
      <w:bookmarkStart w:id="446" w:name="Tc_6c4NszyL-kqB0Qxuqxt5sw_14_19"/>
      <w:bookmarkStart w:id="447" w:name="Tc_bD6LoSdVqkyauGxETSkChg_14_16"/>
      <w:bookmarkStart w:id="448" w:name="Tc_qWSnObqFV0KkpvhJ94vdwg_14_14"/>
      <w:bookmarkStart w:id="449" w:name="Tc_d825ctJrO0OZ-9jHSSOzMg_14_11"/>
      <w:bookmarkStart w:id="450" w:name="Tc_frb-SonyVU2A2pywQaPVKg_14_8"/>
      <w:bookmarkStart w:id="451" w:name="Tc_ELNMiB5UakKRPKfR2hqT4A_14_5"/>
      <w:bookmarkStart w:id="452" w:name="Tc_UO0eEv0660CgBn5-lZpn3w_14_0"/>
      <w:bookmarkStart w:id="453" w:name="Tc_mYw0HHajcUSNG4ao_Y567w_12_27"/>
      <w:bookmarkStart w:id="454" w:name="Tc_sYo3oToj9kqGEAESZfttxA_12_25"/>
      <w:bookmarkStart w:id="455" w:name="Tc_G1V2FPlPW0iqBsh9JkK3xw_12_24"/>
      <w:bookmarkStart w:id="456" w:name="Tc_lUdIDInfn0a4WM5DwsiG0g_12_22"/>
      <w:bookmarkStart w:id="457" w:name="Tc_RpPA0ahxxEi8KoKLgg3RfQ_12_21"/>
      <w:bookmarkStart w:id="458" w:name="Tc_BLzmPTT2-k6TK7WFTztPPA_12_19"/>
      <w:bookmarkStart w:id="459" w:name="Tc_Gh87s_KUjkGIhtAsvZbDlg_12_18"/>
      <w:bookmarkStart w:id="460" w:name="Tc_5DbMOLT0jUybvKj6iQ_ZuQ_12_16"/>
      <w:bookmarkStart w:id="461" w:name="Tc_bKsnHxTqpkSqKSpMN5FLEg_12_14"/>
      <w:bookmarkStart w:id="462" w:name="Tc_pbPTiB-5V0-vIfGNpDGGBw_12_11"/>
      <w:bookmarkStart w:id="463" w:name="Tc_oZxjFFPESUKH1vHW2AjRBg_12_8"/>
      <w:bookmarkStart w:id="464" w:name="Tc_ok0nOsrQOkKEJEgeEWCwqQ_12_7"/>
      <w:bookmarkStart w:id="465" w:name="Tc_4jcH-ILMQEq2Xr0-M3PzKg_12_5"/>
      <w:bookmarkStart w:id="466" w:name="Tc_ovhqIc-_nUKvHseLtR6VVg_12_2"/>
      <w:bookmarkStart w:id="467" w:name="Tc_A_CuFX5w6Uy0QYCfV_tTqA_12_0"/>
      <w:bookmarkStart w:id="468" w:name="Tc_k6wpMDZjJUS4vwYpz_FbBw_10_27"/>
      <w:bookmarkStart w:id="469" w:name="Tc_dQW2TLwLS0CtpPnx0FzidQ_10_24"/>
      <w:bookmarkStart w:id="470" w:name="Tc_8Hn91zxDY0ap4zmN2o29Ew_10_21"/>
      <w:bookmarkStart w:id="471" w:name="Tc_oXa38QAvwUuyJJimZn_lhA_10_18"/>
      <w:bookmarkStart w:id="472" w:name="Tc_843oMzQMwESjrTEBamKoFA_10_16"/>
      <w:bookmarkStart w:id="473" w:name="Tc_cQOF0u4WM0yJ52QbQ2G6xg_10_13"/>
      <w:bookmarkStart w:id="474" w:name="Tc_2BD7ZKjov0276sBzmxSt8Q_10_10"/>
      <w:bookmarkStart w:id="475" w:name="Tc_4-HFCF68f0KgBG9W3a4VLw_10_7"/>
      <w:bookmarkStart w:id="476" w:name="Tc_p8pkcJkkJ0-VnlImJ9A0yQ_10_5"/>
      <w:bookmarkStart w:id="477" w:name="Tc_oNf1_QptF0KVE_UBTPVuKQ_10_2"/>
      <w:bookmarkStart w:id="478" w:name="Tc_0hz_TMAkokGMPat5RsqkcQ_9_27"/>
      <w:bookmarkStart w:id="479" w:name="Tc_vMxHEuL-00qa54JKtqW3NA_9_24"/>
      <w:bookmarkStart w:id="480" w:name="Tc_GSXdshg9O0KWw09E-0_q8A_9_21"/>
      <w:bookmarkStart w:id="481" w:name="Tc_hPiEGw-9-EOAqYxYGLfjWw_9_2"/>
      <w:bookmarkStart w:id="482" w:name="Tc_AMi7oO6LRUyLakkFqciIzw_8_28"/>
      <w:bookmarkStart w:id="483" w:name="Tc_plhFRpOU5EyJ7RwKjAiRsg_8_2"/>
      <w:bookmarkStart w:id="484" w:name="Tc_kuqg1QisJEOecdDuwXcCWw_7_27"/>
      <w:bookmarkStart w:id="485" w:name="Tc_Ap73unSex0KVgTQcDSFQwg_7_2"/>
      <w:bookmarkStart w:id="486" w:name="Tc_nArwKYr6ykW7bGMxq5EjPw_6_27"/>
      <w:bookmarkStart w:id="487" w:name="Tc_cZBSBEPLjU6fKc1KdOlGpg_6_2"/>
      <w:bookmarkStart w:id="488" w:name="Tc_JrA0AOiEzk2RZIpwcoEesg_5_27"/>
      <w:bookmarkStart w:id="489" w:name="Tc_OmEPKk2vAEOaGbH1pCBIpg_4_27"/>
      <w:bookmarkStart w:id="490" w:name="Tc_YblDI3R-l0uAJ_9L5Ncc6A_3_16"/>
      <w:bookmarkStart w:id="491" w:name="Tc_3cFyTyh5bEWR16XbrxSu-w_3_10"/>
      <w:bookmarkStart w:id="492" w:name="Tc_8SIMWGT5_0KDtx9SwJwljA_3_5"/>
      <w:bookmarkStart w:id="493" w:name="Tc_hVcXvEEeqU61FinDFM_HWw_2_10"/>
      <w:bookmarkStart w:id="494" w:name="Tc_FTsGSDEZaUOWBOEM8Pa4FA_2_5"/>
      <w:bookmarkStart w:id="495" w:name="Tc_Jx8HRIdgcUKpmibdgCiymQ_1_2"/>
      <w:bookmarkStart w:id="496" w:name="_98213c63_72b1_46b5_9b1f_1271bc83fbbb"/>
      <w:bookmarkStart w:id="497" w:name="Tc_7urDuv8gakKX-vjfSbGRJw_44_27"/>
      <w:bookmarkStart w:id="498" w:name="Tc_YsS5JWeZ5UCIwymanUnm1w_44_24"/>
      <w:bookmarkStart w:id="499" w:name="Tc_odeTMzJbuUqBzdtAN50uEQ_44_21"/>
      <w:bookmarkStart w:id="500" w:name="Tc_rZWr95mmUUKRKtzYHRK2vQ_44_19"/>
      <w:bookmarkStart w:id="501" w:name="Tc_RDLKGy4V6US9o58PbjhlGQ_44_18"/>
      <w:bookmarkStart w:id="502" w:name="Tc_-gilROd5h06nFZLjfHzGxw_44_13"/>
      <w:bookmarkStart w:id="503" w:name="Tc_rAyztukkHUG3WUyArLBa0A_44_7"/>
      <w:bookmarkStart w:id="504" w:name="Tc_JG9yXMovM0a5SOJ5aYTnEA_44_3"/>
      <w:bookmarkStart w:id="505" w:name="Tc_T5RwdrMe5UC4LiT6cRUxNQ_44_2"/>
      <w:bookmarkStart w:id="506" w:name="Tc_84BSJs5nz0ytrNN__BCmxw_44_0"/>
      <w:bookmarkStart w:id="507" w:name="Tc_E2hLmtvKvk2qfFwRA__FMQ_42_22"/>
      <w:bookmarkStart w:id="508" w:name="Tc_TvHmQ0wXbkiLseFJbSlMGQ_42_19"/>
      <w:bookmarkStart w:id="509" w:name="Tc_GKr0SvdWxUK9Kf0otN4-Wg_42_16"/>
      <w:bookmarkStart w:id="510" w:name="Tc_L4xYwNUWL0CCfK5oQyZgIQ_42_14"/>
      <w:bookmarkStart w:id="511" w:name="Tc_CSPjF4jOoECrdLfDpVPNFQ_42_11"/>
      <w:bookmarkStart w:id="512" w:name="Tc_pHhCFdoygEaBtVWCxJyFTg_42_8"/>
      <w:bookmarkStart w:id="513" w:name="Tc_engKgxJofEO0buh85hCV5g_42_5"/>
      <w:bookmarkStart w:id="514" w:name="Tc_BX4SieLTLUa387y44ECqtA_42_3"/>
      <w:bookmarkStart w:id="515" w:name="Tc_-P0PzEqON0umI09uPTRJsw_42_0"/>
      <w:bookmarkStart w:id="516" w:name="Tc_Rl7Eo953iUOCjwRkLP5nQA_40_25"/>
      <w:bookmarkStart w:id="517" w:name="Tc_WJcs_2qnwEGiA4r4qn78ig_40_19"/>
      <w:bookmarkStart w:id="518" w:name="Tc_RTDFA3jR0kq_JAtBqbrBMA_40_16"/>
      <w:bookmarkStart w:id="519" w:name="Tc_IndyulAWwE-FsMj62okeiA_40_14"/>
      <w:bookmarkStart w:id="520" w:name="Tc_4dvQtKaMdkWwUfrYueCnUg_40_11"/>
      <w:bookmarkStart w:id="521" w:name="Tc_ulOCeL8ZZEa7XhKsvOMCHg_40_8"/>
      <w:bookmarkStart w:id="522" w:name="Tc_34BHhYT_z0mhWpuULRCRqw_40_5"/>
      <w:bookmarkStart w:id="523" w:name="Tc_OEm2xBiAME6bROtsey4xUw_40_3"/>
      <w:bookmarkStart w:id="524" w:name="Tc_Yy_uDeGiUk2nlgQqMwmXLQ_40_0"/>
      <w:bookmarkStart w:id="525" w:name="Tc_CXG6liwJ-E-ZY3zlsvrQTg_38_25"/>
      <w:bookmarkStart w:id="526" w:name="Tc_QkppiQJntEKRVoGPxRfFjQ_38_22"/>
      <w:bookmarkStart w:id="527" w:name="Tc_ulvgGB6RmE-BVumm224whA_38_19"/>
      <w:bookmarkStart w:id="528" w:name="Tc_gDOP9cKRTkezyQW50H_wGQ_38_16"/>
      <w:bookmarkStart w:id="529" w:name="Tc_mGNBgOXMk0GEjES493AK8A_38_8"/>
      <w:bookmarkStart w:id="530" w:name="Tc_3UVsQ0FB90a9fz_CVcjm8w_38_5"/>
      <w:bookmarkStart w:id="531" w:name="Tc_pX0DQQkaQUmYuNIxW5xIHg_38_3"/>
      <w:bookmarkStart w:id="532" w:name="Tc_welZX7rHiUmQ50lg3FMGkA_38_0"/>
      <w:bookmarkStart w:id="533" w:name="Tc_Q7LzbDtHfkKWI2g-dLu7qA_36_25"/>
      <w:bookmarkStart w:id="534" w:name="Tc_tiS5YPJVZUuujC8i8U_uiQ_36_22"/>
      <w:bookmarkStart w:id="535" w:name="Tc_CX3SgtkkDkmNmOAF8J7eiQ_36_19"/>
      <w:bookmarkStart w:id="536" w:name="Tc_jAkO050tAU6nx5RxeVZULQ_36_16"/>
      <w:bookmarkStart w:id="537" w:name="Tc_ahDDHF_CZEiYN0YmbHbGwg_36_14"/>
      <w:bookmarkStart w:id="538" w:name="Tc_9usMSt_MjUui3BlsepLEww_36_11"/>
      <w:bookmarkStart w:id="539" w:name="Tc_QUrHguOZTUyTxrIDrgntcQ_36_3"/>
      <w:bookmarkStart w:id="540" w:name="Tc_xCf_2Ys360eeoJELFkoXVg_36_0"/>
      <w:bookmarkStart w:id="541" w:name="Tc_UhwyidDwuUSy6To0R-Lodw_34_27"/>
      <w:bookmarkStart w:id="542" w:name="Tc_jSni5BRK5k6VdT3k-0M-vg_34_24"/>
      <w:bookmarkStart w:id="543" w:name="Tc_jWm9JVF5QEKu_Tr4jVVJrA_34_21"/>
      <w:bookmarkStart w:id="544" w:name="Tc_5y-vT4dgLk22DQRJ6eBGLg_34_19"/>
      <w:bookmarkStart w:id="545" w:name="Tc_VxipZrBkWE27dxK6Zxxw4A_34_18"/>
      <w:bookmarkStart w:id="546" w:name="Tc_JloKwLEf10WndRbTlY3Dzg_34_14"/>
      <w:bookmarkStart w:id="547" w:name="Tc_SCAZ_BYF0kOBOmcaQ7AFZg_34_13"/>
      <w:bookmarkStart w:id="548" w:name="Tc_MMVVUWhHbUiDKvh_k62fgA_34_11"/>
      <w:bookmarkStart w:id="549" w:name="Tc_zdl7UK3YPU2UZNmf0ktMqQ_34_10"/>
      <w:bookmarkStart w:id="550" w:name="Tc_dfIuPBxhD0K4WmTMo7TKsg_34_7"/>
      <w:bookmarkStart w:id="551" w:name="Tc_QkIJmATcJU-7yfwsdqFZVQ_34_3"/>
      <w:bookmarkStart w:id="552" w:name="Tc_MTtuXOBEOESMxQiEQaw7ng_34_0"/>
      <w:bookmarkStart w:id="553" w:name="Tc_AnsBrJBqWEOGTfoszeiszQ_32_22"/>
      <w:bookmarkStart w:id="554" w:name="Tc_grpp_PF_DUyq3ZHdH3sIbA_32_19"/>
      <w:bookmarkStart w:id="555" w:name="Tc_r77q1Uf9E0mTV9LCwNYjRA_32_16"/>
      <w:bookmarkStart w:id="556" w:name="Tc_It9L-iVGCEC-rfgdqdzjCw_32_14"/>
      <w:bookmarkStart w:id="557" w:name="Tc_ntkcF3x9H0K1oIMQK0lH3A_32_11"/>
      <w:bookmarkStart w:id="558" w:name="Tc_dlA1AmTGxUaDgEnIFi57xg_32_8"/>
      <w:bookmarkStart w:id="559" w:name="Tc_wGqyRsZAGkSn-xF0l_lsTQ_32_5"/>
      <w:bookmarkStart w:id="560" w:name="Tc_pUZHJtmZaU-6qEPiXWn7gA_32_3"/>
      <w:bookmarkStart w:id="561" w:name="Tc_h74377FCYk2ls38d9OZIiA_32_0"/>
      <w:bookmarkStart w:id="562" w:name="Tc_lKVXCUug7Eis8-RFcNVX-w_30_25"/>
      <w:bookmarkStart w:id="563" w:name="Tc_MmWKtjkUWk2nZpxX6N7F-A_30_19"/>
      <w:bookmarkStart w:id="564" w:name="Tc_AeU0I4WAJUW9fwNl2GQIvQ_30_14"/>
      <w:bookmarkStart w:id="565" w:name="Tc_VQVmzw69SEqiH_bSdRpFjw_30_11"/>
      <w:bookmarkStart w:id="566" w:name="Tc_nDOI1CIdSESIcpt0DhLQrA_30_8"/>
      <w:bookmarkStart w:id="567" w:name="Tc_6LQv7tYQLkWt6Rb_5InNsw_30_5"/>
      <w:bookmarkStart w:id="568" w:name="Tc_rdkFPSssAE-6HiO2pUwRVw_30_3"/>
      <w:bookmarkStart w:id="569" w:name="Tc_HI2rhNd6ck6YFq_6T9_Q1A_30_0"/>
      <w:bookmarkStart w:id="570" w:name="Tc_JpuI3vGm3keG-P152HKM_w_28_25"/>
      <w:bookmarkStart w:id="571" w:name="Tc_a_puTDUzkEmshKRrh5AlPg_28_19"/>
      <w:bookmarkStart w:id="572" w:name="Tc_bwV2Tgr-90aGXOETWh2YwA_28_16"/>
      <w:bookmarkStart w:id="573" w:name="Tc_OUQW3CGv3Ua3VV2Gt2nwDg_28_14"/>
      <w:bookmarkStart w:id="574" w:name="Tc_Fda2HHruh0aiZOHq3SbDXQ_28_11"/>
      <w:bookmarkStart w:id="575" w:name="Tc_EsLp-IFiMkujjUTA64G1Ow_28_8"/>
      <w:bookmarkStart w:id="576" w:name="Tc_EHLy2jFS2kyvjVcXmV2cxg_28_5"/>
      <w:bookmarkStart w:id="577" w:name="Tc_73eP4awjcUSQJheH91B_yw_28_3"/>
      <w:bookmarkStart w:id="578" w:name="Tc_7wtoC0yTcEu7pPCxyPvDEg_28_0"/>
      <w:bookmarkStart w:id="579" w:name="Tc_rqrqVx28Y0CWHHnPamsm-g_26_25"/>
      <w:bookmarkStart w:id="580" w:name="Tc_Btn6edo2u0yFdKVYwbZnTg_26_22"/>
      <w:bookmarkStart w:id="581" w:name="Tc_X0ZIlyBC9EG7uFsqAmLAiQ_26_19"/>
      <w:bookmarkStart w:id="582" w:name="Tc_8kgeGftt6kyM39FqJq1ceg_26_16"/>
      <w:bookmarkStart w:id="583" w:name="Tc_MjLUxrgSP0O-snSLMrX8kQ_26_14"/>
      <w:bookmarkStart w:id="584" w:name="Tc_GgWSN4ISYUmqxQgFoQsE4A_26_11"/>
      <w:bookmarkStart w:id="585" w:name="Tc_Lb3bMePJy0W1z6TH48lMtA_26_3"/>
      <w:bookmarkStart w:id="586" w:name="Tc_3RqIlmlUpUiQZh7U3YOgAA_26_0"/>
      <w:bookmarkStart w:id="587" w:name="Tc_m08DjBAw0U2ndMICc1Rzng_24_27"/>
      <w:bookmarkStart w:id="588" w:name="Tc_cKIL_aOAyEycltqFensPPQ_24_24"/>
      <w:bookmarkStart w:id="589" w:name="Tc_LxC-9HIg0kmtNDiA3DHZxw_24_21"/>
      <w:bookmarkStart w:id="590" w:name="Tc_DbArBUJBI0yoJC9IVq98LA_24_19"/>
      <w:bookmarkStart w:id="591" w:name="Tc_AJM5bn6i0Eye2VVmwXJWvw_24_18"/>
      <w:bookmarkStart w:id="592" w:name="Tc_0JjvgeWwPkK3Bd2RhbaITA_24_14"/>
      <w:bookmarkStart w:id="593" w:name="Tc_XN8qWX9HjkSb6o3Hdf13Zg_24_13"/>
      <w:bookmarkStart w:id="594" w:name="Tc_biCSkQUtP0OeqikuDr11vg_24_11"/>
      <w:bookmarkStart w:id="595" w:name="Tc_3icWy_qxrk-rFyo_ADd_Ag_24_10"/>
      <w:bookmarkStart w:id="596" w:name="Tc_qUKesgtBbkSlt0pawIxlzQ_24_7"/>
      <w:bookmarkStart w:id="597" w:name="Tc_B6yVfB4gH02WGFohMrkWHA_24_3"/>
      <w:bookmarkStart w:id="598" w:name="Tc_Oruw7BfC70yGEL9tm6KIzQ_24_2"/>
      <w:bookmarkStart w:id="599" w:name="Tc_bL9N1xkVZUqIqBBIRdH3Lg_24_0"/>
      <w:bookmarkStart w:id="600" w:name="Tc_y8BvvinCqUuMQWr3f36Zug_22_22"/>
      <w:bookmarkStart w:id="601" w:name="Tc_oenxUZNzMEK05RVU0es8nQ_22_19"/>
      <w:bookmarkStart w:id="602" w:name="Tc_WSe_RmqqTkK-ZXJj3woy5Q_22_16"/>
      <w:bookmarkStart w:id="603" w:name="Tc_ZncvLCWCb0mc8CsGWYej_g_22_14"/>
      <w:bookmarkStart w:id="604" w:name="Tc_nAxedQem806hlbOgkCYVJg_22_11"/>
      <w:bookmarkStart w:id="605" w:name="Tc_-2HrsAPAD0egHgQTzeHXEA_22_8"/>
      <w:bookmarkStart w:id="606" w:name="Tc_lAasrhhk8UOYf0fdn9LuKQ_22_5"/>
      <w:bookmarkStart w:id="607" w:name="Tc_iyOKD3aLL06TlqrQkz3LsQ_22_3"/>
      <w:bookmarkStart w:id="608" w:name="Tc_6gwVfiOSREiioe9m3rDjXg_22_0"/>
      <w:bookmarkStart w:id="609" w:name="Tc_80wFNoRH4EOQ2gcdXiqjFQ_20_25"/>
      <w:bookmarkStart w:id="610" w:name="Tc_JI3kwmsq80-OjTzTcPHCjA_20_22"/>
      <w:bookmarkStart w:id="611" w:name="Tc_0J6Z-LPf3U6nAJNwW37aCA_20_19"/>
      <w:bookmarkStart w:id="612" w:name="Tc_KT1FbiguNkCamUZTwYTSFA_20_16"/>
      <w:bookmarkStart w:id="613" w:name="Tc_LvC066IN5UaPjxAa4F9LuA_20_14"/>
      <w:bookmarkStart w:id="614" w:name="Tc_7WKhyABG6EehKoNt-__gMg_20_11"/>
      <w:bookmarkStart w:id="615" w:name="Tc_XXubYfSNzEK689TarxiKuw_20_3"/>
      <w:bookmarkStart w:id="616" w:name="Tc_wnGUbdsJpUSDjiq3puzVVg_20_0"/>
      <w:bookmarkStart w:id="617" w:name="Tc_ZNm9RsC2rUq0MGV2v6qGmw_18_19"/>
      <w:bookmarkStart w:id="618" w:name="Tc_zat612BBMUCKFlGHk_x0gA_18_14"/>
      <w:bookmarkStart w:id="619" w:name="Tc_SRRl_jQ240imm7c4oj31IA_18_11"/>
      <w:bookmarkStart w:id="620" w:name="Tc__HQMbI9zvEarTEe7yIEx7g_18_8"/>
      <w:bookmarkStart w:id="621" w:name="Tc_jzt4-rP-VESdTlgQ4Wz7kg_18_5"/>
      <w:bookmarkStart w:id="622" w:name="Tc_4Sg7jtOISU-vkTnoJb4XhA_18_0"/>
      <w:bookmarkStart w:id="623" w:name="Tc_WakkR48iKki4XPFZAsooSA_16_25"/>
      <w:bookmarkStart w:id="624" w:name="Tc_3wvqakSvhUaKPAsTebc4dg_16_22"/>
      <w:bookmarkStart w:id="625" w:name="Tc_eLg9hfN-Z0WnvPyubEraog_16_19"/>
      <w:bookmarkStart w:id="626" w:name="Tc_XtoS5EQAjUydwwGxJEkgxQ_16_16"/>
      <w:bookmarkStart w:id="627" w:name="Tc_p_TX7A4Q9keZh-En_oYZGw_16_14"/>
      <w:bookmarkStart w:id="628" w:name="Tc_UPIUnTBRpECejRSK-H-aXA_16_11"/>
      <w:bookmarkStart w:id="629" w:name="Tc_6l-2FDDGlU-lNnsfWyrLkw_16_8"/>
      <w:bookmarkStart w:id="630" w:name="Tc_YxhQUoHS00y2oOGWXnAyHw_16_5"/>
      <w:bookmarkStart w:id="631" w:name="Tc_QFYH9x0cgkC2s8EOcaMnYg_16_0"/>
      <w:bookmarkStart w:id="632" w:name="Tc_YnT9dhgwpkuryiT8LRzfVA_14_25"/>
      <w:bookmarkStart w:id="633" w:name="Tc_LoiQvDWsMUmiXWooVpvqGw_14_22"/>
      <w:bookmarkStart w:id="634" w:name="Tc_6c4NszyL-kqB0Qxuqxt5sw_14_19"/>
      <w:bookmarkStart w:id="635" w:name="Tc_bD6LoSdVqkyauGxETSkChg_14_16"/>
      <w:bookmarkStart w:id="636" w:name="Tc_qWSnObqFV0KkpvhJ94vdwg_14_14"/>
      <w:bookmarkStart w:id="637" w:name="Tc_d825ctJrO0OZ-9jHSSOzMg_14_11"/>
      <w:bookmarkStart w:id="638" w:name="Tc_frb-SonyVU2A2pywQaPVKg_14_8"/>
      <w:bookmarkStart w:id="639" w:name="Tc_ELNMiB5UakKRPKfR2hqT4A_14_5"/>
      <w:bookmarkStart w:id="640" w:name="Tc_UO0eEv0660CgBn5-lZpn3w_14_0"/>
      <w:bookmarkStart w:id="641" w:name="Tc_mYw0HHajcUSNG4ao_Y567w_12_27"/>
      <w:bookmarkStart w:id="642" w:name="Tc_sYo3oToj9kqGEAESZfttxA_12_25"/>
      <w:bookmarkStart w:id="643" w:name="Tc_G1V2FPlPW0iqBsh9JkK3xw_12_24"/>
      <w:bookmarkStart w:id="644" w:name="Tc_lUdIDInfn0a4WM5DwsiG0g_12_22"/>
      <w:bookmarkStart w:id="645" w:name="Tc_RpPA0ahxxEi8KoKLgg3RfQ_12_21"/>
      <w:bookmarkStart w:id="646" w:name="Tc_BLzmPTT2-k6TK7WFTztPPA_12_19"/>
      <w:bookmarkStart w:id="647" w:name="Tc_Gh87s_KUjkGIhtAsvZbDlg_12_18"/>
      <w:bookmarkStart w:id="648" w:name="Tc_5DbMOLT0jUybvKj6iQ_ZuQ_12_16"/>
      <w:bookmarkStart w:id="649" w:name="Tc_bKsnHxTqpkSqKSpMN5FLEg_12_14"/>
      <w:bookmarkStart w:id="650" w:name="Tc_pbPTiB-5V0-vIfGNpDGGBw_12_11"/>
      <w:bookmarkStart w:id="651" w:name="Tc_oZxjFFPESUKH1vHW2AjRBg_12_8"/>
      <w:bookmarkStart w:id="652" w:name="Tc_ok0nOsrQOkKEJEgeEWCwqQ_12_7"/>
      <w:bookmarkStart w:id="653" w:name="Tc_4jcH-ILMQEq2Xr0-M3PzKg_12_5"/>
      <w:bookmarkStart w:id="654" w:name="Tc_ovhqIc-_nUKvHseLtR6VVg_12_2"/>
      <w:bookmarkStart w:id="655" w:name="Tc_A_CuFX5w6Uy0QYCfV_tTqA_12_0"/>
      <w:bookmarkStart w:id="656" w:name="Tc_k6wpMDZjJUS4vwYpz_FbBw_10_27"/>
      <w:bookmarkStart w:id="657" w:name="Tc_dQW2TLwLS0CtpPnx0FzidQ_10_24"/>
      <w:bookmarkStart w:id="658" w:name="Tc_8Hn91zxDY0ap4zmN2o29Ew_10_21"/>
      <w:bookmarkStart w:id="659" w:name="Tc_oXa38QAvwUuyJJimZn_lhA_10_18"/>
      <w:bookmarkStart w:id="660" w:name="Tc_843oMzQMwESjrTEBamKoFA_10_16"/>
      <w:bookmarkStart w:id="661" w:name="Tc_cQOF0u4WM0yJ52QbQ2G6xg_10_13"/>
      <w:bookmarkStart w:id="662" w:name="Tc_2BD7ZKjov0276sBzmxSt8Q_10_10"/>
      <w:bookmarkStart w:id="663" w:name="Tc_4-HFCF68f0KgBG9W3a4VLw_10_7"/>
      <w:bookmarkStart w:id="664" w:name="Tc_p8pkcJkkJ0-VnlImJ9A0yQ_10_5"/>
      <w:bookmarkStart w:id="665" w:name="Tc_oNf1_QptF0KVE_UBTPVuKQ_10_2"/>
      <w:bookmarkStart w:id="666" w:name="Tc_0hz_TMAkokGMPat5RsqkcQ_9_27"/>
      <w:bookmarkStart w:id="667" w:name="Tc_vMxHEuL-00qa54JKtqW3NA_9_24"/>
      <w:bookmarkStart w:id="668" w:name="Tc_GSXdshg9O0KWw09E-0_q8A_9_21"/>
      <w:bookmarkStart w:id="669" w:name="Tc_hPiEGw-9-EOAqYxYGLfjWw_9_2"/>
      <w:bookmarkStart w:id="670" w:name="Tc_AMi7oO6LRUyLakkFqciIzw_8_28"/>
      <w:bookmarkStart w:id="671" w:name="Tc_plhFRpOU5EyJ7RwKjAiRsg_8_2"/>
      <w:bookmarkStart w:id="672" w:name="Tc_kuqg1QisJEOecdDuwXcCWw_7_27"/>
      <w:bookmarkStart w:id="673" w:name="Tc_Ap73unSex0KVgTQcDSFQwg_7_2"/>
      <w:bookmarkStart w:id="674" w:name="Tc_nArwKYr6ykW7bGMxq5EjPw_6_27"/>
      <w:bookmarkStart w:id="675" w:name="Tc_cZBSBEPLjU6fKc1KdOlGpg_6_2"/>
      <w:bookmarkStart w:id="676" w:name="Tc_JrA0AOiEzk2RZIpwcoEesg_5_27"/>
      <w:bookmarkStart w:id="677" w:name="Tc_OmEPKk2vAEOaGbH1pCBIpg_4_27"/>
      <w:bookmarkStart w:id="678" w:name="Tc_YblDI3R-l0uAJ_9L5Ncc6A_3_16"/>
      <w:bookmarkStart w:id="679" w:name="Tc_3cFyTyh5bEWR16XbrxSu-w_3_10"/>
      <w:bookmarkStart w:id="680" w:name="Tc_8SIMWGT5_0KDtx9SwJwljA_3_5"/>
      <w:bookmarkStart w:id="681" w:name="Tc_hVcXvEEeqU61FinDFM_HWw_2_10"/>
      <w:bookmarkStart w:id="682" w:name="Tc_FTsGSDEZaUOWBOEM8Pa4FA_2_5"/>
      <w:bookmarkStart w:id="683" w:name="Tc_Jx8HRIdgcUKpmibdgCiymQ_1_2"/>
      <w:bookmarkStart w:id="684" w:name="_98213c63_72b1_46b5_9b1f_1271bc83fbbb"/>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tbl>
      <w:tblPr>
        <w:tblW w:w="11314" w:type="dxa"/>
        <w:jc w:val="left"/>
        <w:tblInd w:w="0" w:type="dxa"/>
        <w:tblLayout w:type="fixed"/>
        <w:tblCellMar>
          <w:top w:w="0" w:type="dxa"/>
          <w:left w:w="0" w:type="dxa"/>
          <w:bottom w:w="0" w:type="dxa"/>
          <w:right w:w="0" w:type="dxa"/>
        </w:tblCellMar>
      </w:tblPr>
      <w:tblGrid>
        <w:gridCol w:w="1276"/>
        <w:gridCol w:w="326"/>
        <w:gridCol w:w="315"/>
        <w:gridCol w:w="556"/>
        <w:gridCol w:w="326"/>
        <w:gridCol w:w="436"/>
        <w:gridCol w:w="326"/>
        <w:gridCol w:w="181"/>
        <w:gridCol w:w="511"/>
        <w:gridCol w:w="326"/>
        <w:gridCol w:w="181"/>
        <w:gridCol w:w="346"/>
        <w:gridCol w:w="326"/>
        <w:gridCol w:w="181"/>
        <w:gridCol w:w="436"/>
        <w:gridCol w:w="326"/>
        <w:gridCol w:w="511"/>
        <w:gridCol w:w="326"/>
        <w:gridCol w:w="196"/>
        <w:gridCol w:w="375"/>
        <w:gridCol w:w="326"/>
        <w:gridCol w:w="196"/>
        <w:gridCol w:w="555"/>
        <w:gridCol w:w="326"/>
        <w:gridCol w:w="213"/>
        <w:gridCol w:w="658"/>
        <w:gridCol w:w="326"/>
        <w:gridCol w:w="181"/>
        <w:gridCol w:w="750"/>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810260" cy="175260"/>
                      <wp:effectExtent l="0" t="0" r="0" b="0"/>
                      <wp:wrapNone/>
                      <wp:docPr id="36" name="Frame36"/>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0025" cy="175260"/>
                      <wp:effectExtent l="0" t="0" r="0" b="0"/>
                      <wp:wrapNone/>
                      <wp:docPr id="38" name="Frame38"/>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53060" cy="175260"/>
                      <wp:effectExtent l="0" t="0" r="0" b="0"/>
                      <wp:wrapNone/>
                      <wp:docPr id="39" name="Frame39"/>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76860" cy="175260"/>
                      <wp:effectExtent l="0" t="0" r="0" b="0"/>
                      <wp:wrapNone/>
                      <wp:docPr id="41" name="Frame4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14935" cy="175260"/>
                      <wp:effectExtent l="0" t="0" r="0" b="0"/>
                      <wp:wrapNone/>
                      <wp:docPr id="43" name="Frame4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24485" cy="175260"/>
                      <wp:effectExtent l="0" t="0" r="0" b="0"/>
                      <wp:wrapNone/>
                      <wp:docPr id="44" name="Frame4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14935" cy="175260"/>
                      <wp:effectExtent l="0" t="0" r="0" b="0"/>
                      <wp:wrapNone/>
                      <wp:docPr id="46" name="Frame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14935" cy="175260"/>
                      <wp:effectExtent l="0" t="0" r="0" b="0"/>
                      <wp:wrapNone/>
                      <wp:docPr id="49" name="Frame4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76860" cy="175260"/>
                      <wp:effectExtent l="0" t="0" r="0" b="0"/>
                      <wp:wrapNone/>
                      <wp:docPr id="50" name="Frame5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24485" cy="175260"/>
                      <wp:effectExtent l="0" t="0" r="0" b="0"/>
                      <wp:wrapNone/>
                      <wp:docPr id="52" name="Frame5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38125" cy="175260"/>
                      <wp:effectExtent l="0" t="0" r="0" b="0"/>
                      <wp:wrapNone/>
                      <wp:docPr id="55" name="Frame5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52425" cy="175260"/>
                      <wp:effectExtent l="0" t="0" r="0" b="0"/>
                      <wp:wrapNone/>
                      <wp:docPr id="58" name="Frame58"/>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5255" cy="175260"/>
                      <wp:effectExtent l="0" t="0" r="0" b="0"/>
                      <wp:wrapNone/>
                      <wp:docPr id="60" name="Frame6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17830" cy="175260"/>
                      <wp:effectExtent l="0" t="0" r="0" b="0"/>
                      <wp:wrapNone/>
                      <wp:docPr id="61" name="Frame61"/>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14935" cy="175260"/>
                      <wp:effectExtent l="0" t="0" r="0" b="0"/>
                      <wp:wrapNone/>
                      <wp:docPr id="63" name="Frame6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76250" cy="175260"/>
                      <wp:effectExtent l="0" t="0" r="0" b="0"/>
                      <wp:wrapNone/>
                      <wp:docPr id="64" name="Frame64"/>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12" w:type="dxa"/>
            <w:gridSpan w:val="2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Three and Nine Months Ended September 30, 2024</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54" w:type="dxa"/>
            <w:gridSpan w:val="4"/>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 Redeemable Convertible</w:t>
            </w:r>
          </w:p>
        </w:tc>
        <w:tc>
          <w:tcPr>
            <w:tcW w:w="326" w:type="dxa"/>
            <w:tcBorders/>
            <w:vAlign w:val="center"/>
          </w:tcPr>
          <w:p>
            <w:pPr>
              <w:pStyle w:val="TableContents"/>
              <w:bidi w:val="0"/>
              <w:spacing w:before="0" w:after="0"/>
              <w:ind w:left="0" w:right="0" w:hanging="0"/>
              <w:jc w:val="center"/>
              <w:rPr/>
            </w:pPr>
            <w:r>
              <w:rPr/>
              <w:t>​</w:t>
            </w:r>
          </w:p>
        </w:tc>
        <w:tc>
          <w:tcPr>
            <w:tcW w:w="1470" w:type="dxa"/>
            <w:gridSpan w:val="5"/>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 Convertible</w:t>
            </w:r>
          </w:p>
        </w:tc>
        <w:tc>
          <w:tcPr>
            <w:tcW w:w="326" w:type="dxa"/>
            <w:tcBorders/>
            <w:vAlign w:val="center"/>
          </w:tcPr>
          <w:p>
            <w:pPr>
              <w:pStyle w:val="TableContents"/>
              <w:bidi w:val="0"/>
              <w:spacing w:before="0" w:after="0"/>
              <w:ind w:left="0" w:right="0" w:hanging="0"/>
              <w:jc w:val="center"/>
              <w:rPr/>
            </w:pPr>
            <w:r>
              <w:rPr/>
              <w:t>​</w:t>
            </w:r>
          </w:p>
        </w:tc>
        <w:tc>
          <w:tcPr>
            <w:tcW w:w="1408"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5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w:t>
            </w:r>
          </w:p>
        </w:tc>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750" w:type="dxa"/>
            <w:tcBorders/>
            <w:vAlign w:val="center"/>
          </w:tcPr>
          <w:p>
            <w:pPr>
              <w:pStyle w:val="TableContents"/>
              <w:bidi w:val="0"/>
              <w:spacing w:before="0" w:after="0"/>
              <w:ind w:left="0" w:right="0" w:hanging="0"/>
              <w:jc w:val="center"/>
              <w:rPr/>
            </w:pPr>
            <w:r>
              <w:rPr/>
              <w:t>​</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vAlign w:val="center"/>
          </w:tcPr>
          <w:p>
            <w:pPr>
              <w:pStyle w:val="TableContents"/>
              <w:bidi w:val="0"/>
              <w:spacing w:before="0" w:after="0"/>
              <w:ind w:left="0" w:right="0" w:hanging="0"/>
              <w:jc w:val="center"/>
              <w:rPr/>
            </w:pPr>
            <w:r>
              <w:rPr/>
              <w:t>​</w:t>
            </w:r>
          </w:p>
        </w:tc>
        <w:tc>
          <w:tcPr>
            <w:tcW w:w="14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vAlign w:val="center"/>
          </w:tcPr>
          <w:p>
            <w:pPr>
              <w:pStyle w:val="TableContents"/>
              <w:bidi w:val="0"/>
              <w:spacing w:before="0" w:after="0"/>
              <w:ind w:left="0" w:right="0" w:hanging="0"/>
              <w:jc w:val="center"/>
              <w:rPr/>
            </w:pPr>
            <w:r>
              <w:rPr/>
              <w:t>​</w:t>
            </w:r>
          </w:p>
        </w:tc>
        <w:tc>
          <w:tcPr>
            <w:tcW w:w="14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5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w:t>
            </w:r>
          </w:p>
        </w:tc>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pPr>
            <w:r>
              <w:rPr/>
              <w:t>​</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5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Member’s Equity</w:t>
            </w:r>
          </w:p>
        </w:tc>
        <w:tc>
          <w:tcPr>
            <w:tcW w:w="32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5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Attributed to </w:t>
            </w:r>
          </w:p>
        </w:tc>
        <w:tc>
          <w:tcPr>
            <w:tcW w:w="32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5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Mezzanine</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Legacy Wentworth</w:t>
            </w:r>
          </w:p>
        </w:tc>
        <w:tc>
          <w:tcPr>
            <w:tcW w:w="32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5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w:t>
            </w:r>
          </w:p>
        </w:tc>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75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 and</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Management</w:t>
            </w:r>
          </w:p>
        </w:tc>
        <w:tc>
          <w:tcPr>
            <w:tcW w:w="32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 Paid-</w:t>
            </w:r>
          </w:p>
        </w:tc>
        <w:tc>
          <w:tcPr>
            <w:tcW w:w="32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Members’</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Services LLC</w:t>
            </w:r>
          </w:p>
        </w:tc>
        <w:tc>
          <w:tcPr>
            <w:tcW w:w="326" w:type="dxa"/>
            <w:tcBorders/>
            <w:vAlign w:val="center"/>
          </w:tcPr>
          <w:p>
            <w:pPr>
              <w:pStyle w:val="TableContents"/>
              <w:bidi w:val="0"/>
              <w:spacing w:before="0" w:after="0"/>
              <w:ind w:left="0" w:right="0" w:hanging="0"/>
              <w:jc w:val="center"/>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center"/>
              <w:rPr/>
            </w:pPr>
            <w:r>
              <w:rPr/>
              <w:t>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0"/>
              <w:ind w:left="0" w:right="0" w:hanging="0"/>
              <w:jc w:val="center"/>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0"/>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 Capital</w:t>
            </w:r>
          </w:p>
        </w:tc>
        <w:tc>
          <w:tcPr>
            <w:tcW w:w="326" w:type="dxa"/>
            <w:tcBorders/>
            <w:vAlign w:val="center"/>
          </w:tcPr>
          <w:p>
            <w:pPr>
              <w:pStyle w:val="TableContents"/>
              <w:bidi w:val="0"/>
              <w:spacing w:before="0" w:after="0"/>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lef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xml:space="preserve">Balance January 1, 2024 </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5,103</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5,103</w:t>
            </w:r>
          </w:p>
        </w:tc>
      </w:tr>
      <w:tr>
        <w:trPr/>
        <w:tc>
          <w:tcPr>
            <w:tcW w:w="127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Distributions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w:t>
            </w:r>
          </w:p>
        </w:tc>
      </w:tr>
      <w:tr>
        <w:trPr/>
        <w:tc>
          <w:tcPr>
            <w:tcW w:w="127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prior to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w:t>
            </w:r>
          </w:p>
        </w:tc>
      </w:tr>
      <w:tr>
        <w:trPr/>
        <w:tc>
          <w:tcPr>
            <w:tcW w:w="127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Reverse merger and recapitalization of legacy Wentworth Management Services LLC</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(5,748)</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23,693</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(17,961)</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r>
      <w:tr>
        <w:trPr/>
        <w:tc>
          <w:tcPr>
            <w:tcW w:w="127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Mezzanine Equity - Shares Issued in connection with PIPE financing</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14,400</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14,400</w:t>
            </w:r>
          </w:p>
        </w:tc>
      </w:tr>
      <w:tr>
        <w:trPr/>
        <w:tc>
          <w:tcPr>
            <w:tcW w:w="127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attributable to Binah Capital Group, Inc. post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(2,311)</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(2,311)</w:t>
            </w:r>
          </w:p>
        </w:tc>
      </w:tr>
      <w:tr>
        <w:trPr/>
        <w:tc>
          <w:tcPr>
            <w:tcW w:w="127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14,400</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23,693</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(20,272)</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17,821</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redeemable convertible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w:t>
            </w:r>
          </w:p>
        </w:tc>
      </w:tr>
      <w:tr>
        <w:trPr/>
        <w:tc>
          <w:tcPr>
            <w:tcW w:w="127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 redeemable convertible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(390)</w:t>
            </w:r>
          </w:p>
        </w:tc>
        <w:tc>
          <w:tcPr>
            <w:tcW w:w="326"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(390)</w:t>
            </w:r>
          </w:p>
        </w:tc>
      </w:tr>
      <w:tr>
        <w:trPr/>
        <w:tc>
          <w:tcPr>
            <w:tcW w:w="127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Issuance of common stock in connection with exercise of warrants </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416</w:t>
            </w:r>
          </w:p>
        </w:tc>
        <w:tc>
          <w:tcPr>
            <w:tcW w:w="326"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416</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(736)</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(736)</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1,520</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14,595</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16,603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23,719</w:t>
            </w:r>
          </w:p>
        </w:tc>
        <w:tc>
          <w:tcPr>
            <w:tcW w:w="326"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(21,008)</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17,306</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Class A redeemable convertible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w:t>
            </w:r>
          </w:p>
        </w:tc>
      </w:tr>
      <w:tr>
        <w:trPr/>
        <w:tc>
          <w:tcPr>
            <w:tcW w:w="127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Class B convertible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1,500</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1,500</w:t>
            </w:r>
          </w:p>
        </w:tc>
      </w:tr>
      <w:tr>
        <w:trPr/>
        <w:tc>
          <w:tcPr>
            <w:tcW w:w="127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 Class A redeemable convertible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(338)</w:t>
            </w:r>
          </w:p>
        </w:tc>
        <w:tc>
          <w:tcPr>
            <w:tcW w:w="326"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(338)</w:t>
            </w:r>
          </w:p>
        </w:tc>
      </w:tr>
      <w:tr>
        <w:trPr/>
        <w:tc>
          <w:tcPr>
            <w:tcW w:w="127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(1,150)</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(1,150)</w:t>
            </w:r>
          </w:p>
        </w:tc>
      </w:tr>
      <w:tr>
        <w:trPr/>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2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1,537</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14,764</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1,500</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16,603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23,381</w:t>
            </w:r>
          </w:p>
        </w:tc>
        <w:tc>
          <w:tcPr>
            <w:tcW w:w="326" w:type="dxa"/>
            <w:tcBorders/>
            <w:shd w:fill="CCEEFF" w:val="clear"/>
            <w:vAlign w:val="center"/>
          </w:tcPr>
          <w:p>
            <w:pPr>
              <w:pStyle w:val="TableContents"/>
              <w:bidi w:val="0"/>
              <w:spacing w:before="0" w:after="0"/>
              <w:ind w:left="0" w:right="0" w:hanging="0"/>
              <w:jc w:val="righ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(22,158)</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17,487</w:t>
            </w:r>
          </w:p>
        </w:tc>
      </w:tr>
    </w:tbl>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685" w:name="Tc_X8gDAcH3GkSKuZlwXU1R8Q_48_26"/>
      <w:bookmarkStart w:id="686" w:name="Tc_3OnU9hnPi0aZTtAaOSWw_Q_48_23"/>
      <w:bookmarkStart w:id="687" w:name="Tc_WHzYnm0XdESRTShm_8uafA_48_20"/>
      <w:bookmarkStart w:id="688" w:name="Tc_TpJe9oRPL0qUR6HIpkEtnw_48_17"/>
      <w:bookmarkStart w:id="689" w:name="Tc_jNt_FiA9EkyyXEX7Id67-w_48_15"/>
      <w:bookmarkStart w:id="690" w:name="Tc_cAi3vrcZK06wKh9fuZbWMg_48_14"/>
      <w:bookmarkStart w:id="691" w:name="Tc_OMJb65YQ8k6unMSodFRmnQ_48_9"/>
      <w:bookmarkStart w:id="692" w:name="Tc_ldV_p9Vt5k6SpkrLKvtmcw_48_4"/>
      <w:bookmarkStart w:id="693" w:name="Tc__Vis98AMMk-0rym66wHphA_48_0"/>
      <w:bookmarkStart w:id="694" w:name="Tc_0jXPe8dPbEmRbdhGqnSh7Q_46_24"/>
      <w:bookmarkStart w:id="695" w:name="Tc_-82pKeZHr0-f5ZYJQoN5LQ_46_18"/>
      <w:bookmarkStart w:id="696" w:name="Tc_54zm1EfM20KbqxBd8ajs8w_46_15"/>
      <w:bookmarkStart w:id="697" w:name="Tc_Ngz4XHeoekur9vsP1SX_aA_46_12"/>
      <w:bookmarkStart w:id="698" w:name="Tc_Z37gMVUq10eXL9cWuEtuqw_46_10"/>
      <w:bookmarkStart w:id="699" w:name="Tc_UMcYMvNwDUuG6iVyUsEGQg_46_7"/>
      <w:bookmarkStart w:id="700" w:name="Tc_l0-VE8RMAk2TXKjOjSfZQA_46_5"/>
      <w:bookmarkStart w:id="701" w:name="Tc_UloF3HqJbUyK5IqknS26vA_46_2"/>
      <w:bookmarkStart w:id="702" w:name="Tc_qC-281Txo0er8QHyI9Y0Yg_46_0"/>
      <w:bookmarkStart w:id="703" w:name="Tc_W38QTCV4fkmZtrUlV8gSPg_44_21"/>
      <w:bookmarkStart w:id="704" w:name="Tc_uNw5l0kbskmjYyg81aDEag_44_18"/>
      <w:bookmarkStart w:id="705" w:name="Tc_064FfH3wPEyNKjE00OOLKw_44_15"/>
      <w:bookmarkStart w:id="706" w:name="Tc_ZTbZ6EW55kusHfuXnhczHA_44_12"/>
      <w:bookmarkStart w:id="707" w:name="Tc_q9rV9xRUR0W_vmnpxEXHmA_44_10"/>
      <w:bookmarkStart w:id="708" w:name="Tc_AIpNm9XX_0emRbZnRMIjuQ_44_7"/>
      <w:bookmarkStart w:id="709" w:name="Tc_-eUbbWyAgk2rGsh7ecifhg_44_5"/>
      <w:bookmarkStart w:id="710" w:name="Tc_QERd6ORc_kiBCL0fU0Btqw_44_2"/>
      <w:bookmarkStart w:id="711" w:name="Tc_ywxwvp4oYUC-FqCDQo0ntg_44_0"/>
      <w:bookmarkStart w:id="712" w:name="Tc_JNG4y1ig-0CsR4EazebRKg_42_24"/>
      <w:bookmarkStart w:id="713" w:name="Tc_sdOPP_QoMU6h1ZfSJwgNvw_42_21"/>
      <w:bookmarkStart w:id="714" w:name="Tc_fFQVk-cRr0qnkHdCz3hvsg_42_15"/>
      <w:bookmarkStart w:id="715" w:name="Tc_WkVjoWcPBEKQQs1K51zmQg_42_12"/>
      <w:bookmarkStart w:id="716" w:name="Tc_uZE1JJIq5EKFnvzyk1SinQ_42_10"/>
      <w:bookmarkStart w:id="717" w:name="Tc_tjw2XeNE7ESBs0GsK12jpw_42_7"/>
      <w:bookmarkStart w:id="718" w:name="Tc_hB4HQlBygEu1VVQ5sLQeBw_42_5"/>
      <w:bookmarkStart w:id="719" w:name="Tc_4VPNL5O-wEiKof5esxr2dQ_42_2"/>
      <w:bookmarkStart w:id="720" w:name="Tc_8g9wNPlcJUqQGt48e8wScQ_42_0"/>
      <w:bookmarkStart w:id="721" w:name="Tc_7QfDprx08EW_pDUVlKO4mA_40_24"/>
      <w:bookmarkStart w:id="722" w:name="Tc_XBuTNucDY0S1zwMJ-JFlAw_40_21"/>
      <w:bookmarkStart w:id="723" w:name="Tc_SXxRroKoOkCKfe4eMKbFYg_40_15"/>
      <w:bookmarkStart w:id="724" w:name="Tc_QTXbVjqeRU-VYf7JdmVKtw_40_12"/>
      <w:bookmarkStart w:id="725" w:name="Tc_MbI0gVcNuUCRf_LnKJOg6A_40_10"/>
      <w:bookmarkStart w:id="726" w:name="Tc_R9Q4__kGkUioJ6PJ3NXqBw_40_7"/>
      <w:bookmarkStart w:id="727" w:name="Tc_2wlHFmvT-kWclOe8lwIegw_40_5"/>
      <w:bookmarkStart w:id="728" w:name="Tc_MNKBy7D4u0y9YWE35c3yhQ_40_2"/>
      <w:bookmarkStart w:id="729" w:name="Tc__AXPrkR1OUGbpmrpHvpFMQ_40_0"/>
      <w:bookmarkStart w:id="730" w:name="Tc_nPK8HdS1vUOB0ftUJYSf3A_38_24"/>
      <w:bookmarkStart w:id="731" w:name="Tc_W2gzstsCV0iPpdWsi5Acsw_38_21"/>
      <w:bookmarkStart w:id="732" w:name="Tc_6Gh4wHQW5UW3_EFTT6KneA_38_15"/>
      <w:bookmarkStart w:id="733" w:name="Tc_J58lRZTCDk6u5NVe4vlaoQ_38_12"/>
      <w:bookmarkStart w:id="734" w:name="Tc_zZPHytA5uUWne7-JuRroiQ_38_10"/>
      <w:bookmarkStart w:id="735" w:name="Tc_tVqgQ2nYxUSkN_dYS2Cv_g_38_7"/>
      <w:bookmarkStart w:id="736" w:name="Tc_w_amGsWjvE-qJWR4Bzavxg_38_5"/>
      <w:bookmarkStart w:id="737" w:name="Tc_x0HdLFiZcEOEcN0IyaJInQ_38_2"/>
      <w:bookmarkStart w:id="738" w:name="Tc_XA2Lmsmtf0CeykJ8WxcZKg_38_0"/>
      <w:bookmarkStart w:id="739" w:name="Tc_bZfJwGSFikqhb3usq95zlg_36_24"/>
      <w:bookmarkStart w:id="740" w:name="Tc_7gzTDyNyHEuJyxG4mqSqpQ_36_21"/>
      <w:bookmarkStart w:id="741" w:name="Tc_w8hoKD9Us0qykgemljotrg_36_18"/>
      <w:bookmarkStart w:id="742" w:name="Tc_0xs01c3MjU63KROm5RChHw_36_15"/>
      <w:bookmarkStart w:id="743" w:name="Tc_SrXkE2jiTEi9dKMEsaABZg_36_12"/>
      <w:bookmarkStart w:id="744" w:name="Tc_AR-V5ckX5USZeUMXkrVqbA_36_10"/>
      <w:bookmarkStart w:id="745" w:name="Tc_KTx1za4DX0Wmy_Ecq8vw8g_36_7"/>
      <w:bookmarkStart w:id="746" w:name="Tc_iFvdjafypEiWlEmo4AI1uw_36_0"/>
      <w:bookmarkStart w:id="747" w:name="Tc_9CqFN5t2Sk2E-fM6pvTpag_34_26"/>
      <w:bookmarkStart w:id="748" w:name="Tc_yIxHy6N7CEyj1EMSMcKA4Q_34_23"/>
      <w:bookmarkStart w:id="749" w:name="Tc_8PXP1mxSR0WhueFvselBmw_34_20"/>
      <w:bookmarkStart w:id="750" w:name="Tc_ZOnVHWVc0UWnJ6pO2eRYKw_34_17"/>
      <w:bookmarkStart w:id="751" w:name="Tc_9ChMeUcjr0-KdXrwp30rPw_34_15"/>
      <w:bookmarkStart w:id="752" w:name="Tc_GwOhgfARxkeNVwDxj8BleQ_34_14"/>
      <w:bookmarkStart w:id="753" w:name="Tc__NqDkqCxCUm6_RrZ7fsIfw_34_9"/>
      <w:bookmarkStart w:id="754" w:name="Tc_0Hw8RFrSGkiVkcH8fz5rBw_34_4"/>
      <w:bookmarkStart w:id="755" w:name="Tc_M2AtrwaH5UamuXd1-Lkpcg_34_0"/>
      <w:bookmarkStart w:id="756" w:name="Tc_WTpRq50lqUKg7bOIG1E4Aw_32_24"/>
      <w:bookmarkStart w:id="757" w:name="Tc_jqpBgC0R8U6WxnJLLc1GdA_32_18"/>
      <w:bookmarkStart w:id="758" w:name="Tc_LsA2B3PK70iMRiZ3gzxCyw_32_15"/>
      <w:bookmarkStart w:id="759" w:name="Tc_oLhtD6FAHESdEviN-ET65w_32_12"/>
      <w:bookmarkStart w:id="760" w:name="Tc_14O-TFynBEOy1KAfwJENLA_32_10"/>
      <w:bookmarkStart w:id="761" w:name="Tc_adt5oMggHkG7oRJ08iAHqQ_32_7"/>
      <w:bookmarkStart w:id="762" w:name="Tc_GhJlU6FxW0G1RRvhMv1i0g_32_5"/>
      <w:bookmarkStart w:id="763" w:name="Tc_rgiJS1ACbEiS3z-ZRm01qQ_32_2"/>
      <w:bookmarkStart w:id="764" w:name="Tc_tXi5QT4CvUS7mF2k4ptvtQ_32_0"/>
      <w:bookmarkStart w:id="765" w:name="Tc_57llGWyI3EanVYEZ7B_AMg_30_21"/>
      <w:bookmarkStart w:id="766" w:name="Tc_YgzhYEJz6U-zHFMYD9BHSw_30_18"/>
      <w:bookmarkStart w:id="767" w:name="Tc_ha5uNNt23kCU7K4kTPuRcA_30_15"/>
      <w:bookmarkStart w:id="768" w:name="Tc_dWKzDC5DBkGA-aR5CcDNgA_30_12"/>
      <w:bookmarkStart w:id="769" w:name="Tc__g9RD35IIE-GgT9Mvi0Xig_30_10"/>
      <w:bookmarkStart w:id="770" w:name="Tc_0MLNs_BfckuED15gMcBzVA_30_7"/>
      <w:bookmarkStart w:id="771" w:name="Tc_lPNlV-l7vkOeNPPLyQ0H2g_30_5"/>
      <w:bookmarkStart w:id="772" w:name="Tc_li3uX5DCrE2PmAhCXJqx-w_30_2"/>
      <w:bookmarkStart w:id="773" w:name="Tc_KVgCMVqxIkOoGqx2Tt85qQ_30_0"/>
      <w:bookmarkStart w:id="774" w:name="Tc_RByaY5x6OkmLtBuVfWYRfA_28_24"/>
      <w:bookmarkStart w:id="775" w:name="Tc_bvvAknnZz0exYT0SOPXtCQ_28_21"/>
      <w:bookmarkStart w:id="776" w:name="Tc_7PPOvj0vcUOFFU9GNLBq-Q_28_15"/>
      <w:bookmarkStart w:id="777" w:name="Tc_dufCaF-Ub0mHpfwrnjA3Mg_28_10"/>
      <w:bookmarkStart w:id="778" w:name="Tc_yMFtb0uwSUG2J4UA8C53FA_28_7"/>
      <w:bookmarkStart w:id="779" w:name="Tc_3ACs0XJVGU2OMEtlRNQkJA_28_5"/>
      <w:bookmarkStart w:id="780" w:name="Tc_pLeoeOh8eEy46Sqnq8JAbg_28_2"/>
      <w:bookmarkStart w:id="781" w:name="Tc_SSL26WpmzUy1APNEWWLLrQ_28_0"/>
      <w:bookmarkStart w:id="782" w:name="Tc_7c1DlrWFDkmh5AotiXEKmA_26_24"/>
      <w:bookmarkStart w:id="783" w:name="Tc_faiWVZRHLU-Oi_3x0WOtrg_26_21"/>
      <w:bookmarkStart w:id="784" w:name="Tc_xNp3fE3EVUOP1xWw_ID-EQ_26_15"/>
      <w:bookmarkStart w:id="785" w:name="Tc_h39Evs6Ix0erksQtxCiNSA_26_12"/>
      <w:bookmarkStart w:id="786" w:name="Tc_MeUBd5VsvkuIdjOByqZgGw_26_10"/>
      <w:bookmarkStart w:id="787" w:name="Tc_EQ3Utp2F10SIlcAcdHuPEA_26_7"/>
      <w:bookmarkStart w:id="788" w:name="Tc_FyqEyUlQY0-iJB7kDsUp5g_26_5"/>
      <w:bookmarkStart w:id="789" w:name="Tc_GCvOUbwGkESF56BEzU38uQ_26_2"/>
      <w:bookmarkStart w:id="790" w:name="Tc_DM6RDwAt8UW8QcGTW-JmPw_26_0"/>
      <w:bookmarkStart w:id="791" w:name="Tc_NhAZZ1UadEKp44qNmIz1Dw_24_24"/>
      <w:bookmarkStart w:id="792" w:name="Tc_4EcKNk140kmUbsFJCJ00_w_24_21"/>
      <w:bookmarkStart w:id="793" w:name="Tc_eDeOtm-W2EeAn732_7ivvw_24_15"/>
      <w:bookmarkStart w:id="794" w:name="Tc_QFy5f3IbfESjQc5nKeUrYQ_24_12"/>
      <w:bookmarkStart w:id="795" w:name="Tc_mIEH5bHj-kC-XzwsGS3sFQ_24_10"/>
      <w:bookmarkStart w:id="796" w:name="Tc_jdEXnte1u0qCYv8Qpa0y_A_24_7"/>
      <w:bookmarkStart w:id="797" w:name="Tc_zstcZQK-dEW0W3nHVLme6g_24_5"/>
      <w:bookmarkStart w:id="798" w:name="Tc_a-HQDat0z02J27ylgjbhng_24_2"/>
      <w:bookmarkStart w:id="799" w:name="Tc_gQGlimooAkapcGdeypQkKQ_24_0"/>
      <w:bookmarkStart w:id="800" w:name="Tc_r9F0zc2Z10GlmSTcxhm5Vg_22_24"/>
      <w:bookmarkStart w:id="801" w:name="Tc_aJA-g5v3nk61bFAC4Wrj-w_22_21"/>
      <w:bookmarkStart w:id="802" w:name="Tc_oIWvQsl-cUuYFLf_Xgrhqg_22_18"/>
      <w:bookmarkStart w:id="803" w:name="Tc_If5ai90rJEWrNVj5MOZ8ZA_22_15"/>
      <w:bookmarkStart w:id="804" w:name="Tc_KR8Sf-sruE-dZA_58orZDQ_22_12"/>
      <w:bookmarkStart w:id="805" w:name="Tc_kv9vUKJr4kG-xfF7pGdK_w_22_10"/>
      <w:bookmarkStart w:id="806" w:name="Tc_xLShhUwom0uHgyzeRuM82Q_22_7"/>
      <w:bookmarkStart w:id="807" w:name="Tc_Gd9cBigdqki4q-q8m7Fvwg_22_0"/>
      <w:bookmarkStart w:id="808" w:name="Tc_KUeYRtgHnUqYGbrUrTQD7A_20_26"/>
      <w:bookmarkStart w:id="809" w:name="Tc_c4OArfd6_0GYK3bMkDjGNQ_20_24"/>
      <w:bookmarkStart w:id="810" w:name="Tc_FcWM6uKjqEGI4i4biV8Tmg_20_20"/>
      <w:bookmarkStart w:id="811" w:name="Tc_XqGY17fFT0q5Mn-qoy98tw_20_17"/>
      <w:bookmarkStart w:id="812" w:name="Tc_t1mJ_dwv4EaKWYq-s3T84g_20_15"/>
      <w:bookmarkStart w:id="813" w:name="Tc_NDE6m0Dt_EGoGnGExxyEhA_20_9"/>
      <w:bookmarkStart w:id="814" w:name="Tc_62i9hWwqAE2GAP8_ZGG4WA_20_4"/>
      <w:bookmarkStart w:id="815" w:name="Tc_i9xoTN71z0mmEb6wV36x7A_20_0"/>
      <w:bookmarkStart w:id="816" w:name="Tc_-Rm0XPuRQ02dc81grlu5YA_18_24"/>
      <w:bookmarkStart w:id="817" w:name="Tc_xXqekN5MOEuc4qgrCBympg_18_18"/>
      <w:bookmarkStart w:id="818" w:name="Tc_I6Ersw18a0CcnfPOllMb9w_18_15"/>
      <w:bookmarkStart w:id="819" w:name="Tc_f1tydA5Su0KZiimc9uB-ug_18_12"/>
      <w:bookmarkStart w:id="820" w:name="Tc_7mxL9-ObZkGeLqPG75jC0g_18_10"/>
      <w:bookmarkStart w:id="821" w:name="Tc_L6FOQdtqkUuGw29i77UmoA_18_7"/>
      <w:bookmarkStart w:id="822" w:name="Tc_GB5b9KwF9kOdPwpz6YitAg_18_5"/>
      <w:bookmarkStart w:id="823" w:name="Tc_8x7uAgbZZ0OIim9ebNu98A_18_2"/>
      <w:bookmarkStart w:id="824" w:name="Tc_z3R41aSbmEO6mfOaRl_j6Q_18_0"/>
      <w:bookmarkStart w:id="825" w:name="Tc_Dj7cLKNE1E6aYCuL8B_NpA_16_24"/>
      <w:bookmarkStart w:id="826" w:name="Tc_bjie27g2pE2CobFu18Gl3Q_16_21"/>
      <w:bookmarkStart w:id="827" w:name="Tc_CTJefOmookO-3r0Iyj34TA_16_15"/>
      <w:bookmarkStart w:id="828" w:name="Tc_-xdhWxvxmUiH2soUpSEvMA_16_12"/>
      <w:bookmarkStart w:id="829" w:name="Tc_zqHTNw1zRU-cfmLrCrNGvw_16_10"/>
      <w:bookmarkStart w:id="830" w:name="Tc_RPkbNazuNEerpyKHHVpYeQ_16_7"/>
      <w:bookmarkStart w:id="831" w:name="Tc_ntbkhc5mOkGqS1lUYGVWng_16_5"/>
      <w:bookmarkStart w:id="832" w:name="Tc_cvQMmfSYcECau22vDb5kLQ_16_2"/>
      <w:bookmarkStart w:id="833" w:name="Tc_gHjNrZ8FXEqWcIs6hxtdbw_16_0"/>
      <w:bookmarkStart w:id="834" w:name="Tc_28PONHwI5E6mkCEggt_lpg_14_24"/>
      <w:bookmarkStart w:id="835" w:name="Tc_DekDTA0pL0iBjk_4PhShnw_14_21"/>
      <w:bookmarkStart w:id="836" w:name="Tc_KV487xC5aECf8Y9m1xxQ7w_14_15"/>
      <w:bookmarkStart w:id="837" w:name="Tc_LTAPPvq1AU2Rr2ltY8iYSA_14_12"/>
      <w:bookmarkStart w:id="838" w:name="Tc_w5sssx_IqUewt3sJCtVkyQ_14_10"/>
      <w:bookmarkStart w:id="839" w:name="Tc_l8YWpxIzKUG5Sa-P9P-aBA_14_7"/>
      <w:bookmarkStart w:id="840" w:name="Tc_bgKwJ8Yc10WuekRHNRVUkw_14_5"/>
      <w:bookmarkStart w:id="841" w:name="Tc_ZJsufXExLU2Td5KQvfrWVQ_14_2"/>
      <w:bookmarkStart w:id="842" w:name="Tc_jglAMe90Ski9_cMBaLjl9w_14_0"/>
      <w:bookmarkStart w:id="843" w:name="Tc_cexk9lUNM0q_-Uhmjwe9ig_12_24"/>
      <w:bookmarkStart w:id="844" w:name="Tc_nOAc5g9H6kedPsrA17xiig_12_21"/>
      <w:bookmarkStart w:id="845" w:name="Tc_EbpPRJzJ30ylp47JgsWS0A_12_18"/>
      <w:bookmarkStart w:id="846" w:name="Tc_Ecr0uzk430ehdTKbJ_HqDw_12_15"/>
      <w:bookmarkStart w:id="847" w:name="Tc_YjICAs1XCka1xnO8b-VtPA_12_12"/>
      <w:bookmarkStart w:id="848" w:name="Tc_hik9ONpSikme8djfmrRy5Q_12_10"/>
      <w:bookmarkStart w:id="849" w:name="Tc_2gEWdkYUQUGxmo_e2aAX6Q_12_7"/>
      <w:bookmarkStart w:id="850" w:name="Tc_bGWGr1ILuE-Vk6TvB73UYw_12_0"/>
      <w:bookmarkStart w:id="851" w:name="Tc_CyyW9Q6G60aBQQ8NIHHgBg_10_26"/>
      <w:bookmarkStart w:id="852" w:name="Tc_e2z0sn2wyEKJ-Gi2j3haHQ_10_24"/>
      <w:bookmarkStart w:id="853" w:name="Tc_qHOmyeBRAU-bHhGtE__npw_10_20"/>
      <w:bookmarkStart w:id="854" w:name="Tc_lonO8k9hokeM8xlr4M3iDQ_10_17"/>
      <w:bookmarkStart w:id="855" w:name="Tc_iETtG0UM-kOP5ExJV1FHMg_10_15"/>
      <w:bookmarkStart w:id="856" w:name="Tc_g7UTWCzwb0uyUWobljE9gw_10_9"/>
      <w:bookmarkStart w:id="857" w:name="Tc_A3TwAB-zt0GGYQcqoVERwg_10_4"/>
      <w:bookmarkStart w:id="858" w:name="Tc_LkL5Ybyj7UawjtyHK31OhQ_10_0"/>
      <w:bookmarkStart w:id="859" w:name="Tc_vghBj1506UuNCqJFmKSY9g_8_26"/>
      <w:bookmarkStart w:id="860" w:name="Tc_lFUmTGY3MEmJp-TsEaKPJw_8_23"/>
      <w:bookmarkStart w:id="861" w:name="Tc_INYTAy7LO0WZ0WPvHVQ2ww_8_20"/>
      <w:bookmarkStart w:id="862" w:name="Tc_euifJOMJL0elvXuYSGv6Xw_8_17"/>
      <w:bookmarkStart w:id="863" w:name="Tc_3qvnDXyA40qwxoHdRjpSbw_8_14"/>
      <w:bookmarkStart w:id="864" w:name="Tc_33SNz-V7lE6piF7yfx2FGw_8_12"/>
      <w:bookmarkStart w:id="865" w:name="Tc_tjJDttLZsE-GLHv6S8aiVQ_8_9"/>
      <w:bookmarkStart w:id="866" w:name="Tc_AnuoC5jEd0mp_VHS3Jksdg_8_7"/>
      <w:bookmarkStart w:id="867" w:name="Tc_muPXdSifF06X8qLHEUSEfg_8_4"/>
      <w:bookmarkStart w:id="868" w:name="Tc_KKe5PMdjIU6A7csyKiSf4w_8_2"/>
      <w:bookmarkStart w:id="869" w:name="Tc_s3vzANZYA0u35BuWnoEpjQ_7_26"/>
      <w:bookmarkStart w:id="870" w:name="Tc_Qln-_SuRWEe-80dJvyO--A_7_23"/>
      <w:bookmarkStart w:id="871" w:name="Tc_xbW7crQde0ijNltr_Mnc4g_7_20"/>
      <w:bookmarkStart w:id="872" w:name="Tc_CPSAUWH9qE6NyHnC1yksUw_7_17"/>
      <w:bookmarkStart w:id="873" w:name="Tc_etf_ZRnf-0SFrYGG2RSFog_6_26"/>
      <w:bookmarkStart w:id="874" w:name="Tc_eDp3NDnUvUGzmFUKrLj3gg_6_23"/>
      <w:bookmarkStart w:id="875" w:name="Tc_JSOYj3IBpUKHDUzUTidaUw_5_26"/>
      <w:bookmarkStart w:id="876" w:name="Tc_ZJplIRFbFkKVRQGwuKcL9A_5_23"/>
      <w:bookmarkStart w:id="877" w:name="Tc_7s37EuKz8U61qLKOEKfpMw_4_26"/>
      <w:bookmarkStart w:id="878" w:name="Tc_R8x1ddCle0iz3ufxX2majw_3_12"/>
      <w:bookmarkStart w:id="879" w:name="Tc_ZiJ9l9NvHEmumDkv1TUZFw_3_7"/>
      <w:bookmarkStart w:id="880" w:name="Tc_HIA6CVy5mkasmV795D38jg_3_2"/>
      <w:bookmarkStart w:id="881" w:name="Tc_JDBXRGq3yUuFFIwEQC4EAw_2_7"/>
      <w:bookmarkStart w:id="882" w:name="Tc_nS44GFQ_2k6YAYQeb19aLQ_2_2"/>
      <w:bookmarkStart w:id="883" w:name="Tc_EfGmnE7zy0Sxf5F3YZu12g_1_2"/>
      <w:bookmarkStart w:id="884" w:name="_3626856e_533e_4dc3_9868_fdc4069c07ef"/>
      <w:bookmarkStart w:id="885" w:name="Tc_X8gDAcH3GkSKuZlwXU1R8Q_48_26"/>
      <w:bookmarkStart w:id="886" w:name="Tc_3OnU9hnPi0aZTtAaOSWw_Q_48_23"/>
      <w:bookmarkStart w:id="887" w:name="Tc_WHzYnm0XdESRTShm_8uafA_48_20"/>
      <w:bookmarkStart w:id="888" w:name="Tc_TpJe9oRPL0qUR6HIpkEtnw_48_17"/>
      <w:bookmarkStart w:id="889" w:name="Tc_jNt_FiA9EkyyXEX7Id67-w_48_15"/>
      <w:bookmarkStart w:id="890" w:name="Tc_cAi3vrcZK06wKh9fuZbWMg_48_14"/>
      <w:bookmarkStart w:id="891" w:name="Tc_OMJb65YQ8k6unMSodFRmnQ_48_9"/>
      <w:bookmarkStart w:id="892" w:name="Tc_ldV_p9Vt5k6SpkrLKvtmcw_48_4"/>
      <w:bookmarkStart w:id="893" w:name="Tc__Vis98AMMk-0rym66wHphA_48_0"/>
      <w:bookmarkStart w:id="894" w:name="Tc_0jXPe8dPbEmRbdhGqnSh7Q_46_24"/>
      <w:bookmarkStart w:id="895" w:name="Tc_-82pKeZHr0-f5ZYJQoN5LQ_46_18"/>
      <w:bookmarkStart w:id="896" w:name="Tc_54zm1EfM20KbqxBd8ajs8w_46_15"/>
      <w:bookmarkStart w:id="897" w:name="Tc_Ngz4XHeoekur9vsP1SX_aA_46_12"/>
      <w:bookmarkStart w:id="898" w:name="Tc_Z37gMVUq10eXL9cWuEtuqw_46_10"/>
      <w:bookmarkStart w:id="899" w:name="Tc_UMcYMvNwDUuG6iVyUsEGQg_46_7"/>
      <w:bookmarkStart w:id="900" w:name="Tc_l0-VE8RMAk2TXKjOjSfZQA_46_5"/>
      <w:bookmarkStart w:id="901" w:name="Tc_UloF3HqJbUyK5IqknS26vA_46_2"/>
      <w:bookmarkStart w:id="902" w:name="Tc_qC-281Txo0er8QHyI9Y0Yg_46_0"/>
      <w:bookmarkStart w:id="903" w:name="Tc_W38QTCV4fkmZtrUlV8gSPg_44_21"/>
      <w:bookmarkStart w:id="904" w:name="Tc_uNw5l0kbskmjYyg81aDEag_44_18"/>
      <w:bookmarkStart w:id="905" w:name="Tc_064FfH3wPEyNKjE00OOLKw_44_15"/>
      <w:bookmarkStart w:id="906" w:name="Tc_ZTbZ6EW55kusHfuXnhczHA_44_12"/>
      <w:bookmarkStart w:id="907" w:name="Tc_q9rV9xRUR0W_vmnpxEXHmA_44_10"/>
      <w:bookmarkStart w:id="908" w:name="Tc_AIpNm9XX_0emRbZnRMIjuQ_44_7"/>
      <w:bookmarkStart w:id="909" w:name="Tc_-eUbbWyAgk2rGsh7ecifhg_44_5"/>
      <w:bookmarkStart w:id="910" w:name="Tc_QERd6ORc_kiBCL0fU0Btqw_44_2"/>
      <w:bookmarkStart w:id="911" w:name="Tc_ywxwvp4oYUC-FqCDQo0ntg_44_0"/>
      <w:bookmarkStart w:id="912" w:name="Tc_JNG4y1ig-0CsR4EazebRKg_42_24"/>
      <w:bookmarkStart w:id="913" w:name="Tc_sdOPP_QoMU6h1ZfSJwgNvw_42_21"/>
      <w:bookmarkStart w:id="914" w:name="Tc_fFQVk-cRr0qnkHdCz3hvsg_42_15"/>
      <w:bookmarkStart w:id="915" w:name="Tc_WkVjoWcPBEKQQs1K51zmQg_42_12"/>
      <w:bookmarkStart w:id="916" w:name="Tc_uZE1JJIq5EKFnvzyk1SinQ_42_10"/>
      <w:bookmarkStart w:id="917" w:name="Tc_tjw2XeNE7ESBs0GsK12jpw_42_7"/>
      <w:bookmarkStart w:id="918" w:name="Tc_hB4HQlBygEu1VVQ5sLQeBw_42_5"/>
      <w:bookmarkStart w:id="919" w:name="Tc_4VPNL5O-wEiKof5esxr2dQ_42_2"/>
      <w:bookmarkStart w:id="920" w:name="Tc_8g9wNPlcJUqQGt48e8wScQ_42_0"/>
      <w:bookmarkStart w:id="921" w:name="Tc_7QfDprx08EW_pDUVlKO4mA_40_24"/>
      <w:bookmarkStart w:id="922" w:name="Tc_XBuTNucDY0S1zwMJ-JFlAw_40_21"/>
      <w:bookmarkStart w:id="923" w:name="Tc_SXxRroKoOkCKfe4eMKbFYg_40_15"/>
      <w:bookmarkStart w:id="924" w:name="Tc_QTXbVjqeRU-VYf7JdmVKtw_40_12"/>
      <w:bookmarkStart w:id="925" w:name="Tc_MbI0gVcNuUCRf_LnKJOg6A_40_10"/>
      <w:bookmarkStart w:id="926" w:name="Tc_R9Q4__kGkUioJ6PJ3NXqBw_40_7"/>
      <w:bookmarkStart w:id="927" w:name="Tc_2wlHFmvT-kWclOe8lwIegw_40_5"/>
      <w:bookmarkStart w:id="928" w:name="Tc_MNKBy7D4u0y9YWE35c3yhQ_40_2"/>
      <w:bookmarkStart w:id="929" w:name="Tc__AXPrkR1OUGbpmrpHvpFMQ_40_0"/>
      <w:bookmarkStart w:id="930" w:name="Tc_nPK8HdS1vUOB0ftUJYSf3A_38_24"/>
      <w:bookmarkStart w:id="931" w:name="Tc_W2gzstsCV0iPpdWsi5Acsw_38_21"/>
      <w:bookmarkStart w:id="932" w:name="Tc_6Gh4wHQW5UW3_EFTT6KneA_38_15"/>
      <w:bookmarkStart w:id="933" w:name="Tc_J58lRZTCDk6u5NVe4vlaoQ_38_12"/>
      <w:bookmarkStart w:id="934" w:name="Tc_zZPHytA5uUWne7-JuRroiQ_38_10"/>
      <w:bookmarkStart w:id="935" w:name="Tc_tVqgQ2nYxUSkN_dYS2Cv_g_38_7"/>
      <w:bookmarkStart w:id="936" w:name="Tc_w_amGsWjvE-qJWR4Bzavxg_38_5"/>
      <w:bookmarkStart w:id="937" w:name="Tc_x0HdLFiZcEOEcN0IyaJInQ_38_2"/>
      <w:bookmarkStart w:id="938" w:name="Tc_XA2Lmsmtf0CeykJ8WxcZKg_38_0"/>
      <w:bookmarkStart w:id="939" w:name="Tc_bZfJwGSFikqhb3usq95zlg_36_24"/>
      <w:bookmarkStart w:id="940" w:name="Tc_7gzTDyNyHEuJyxG4mqSqpQ_36_21"/>
      <w:bookmarkStart w:id="941" w:name="Tc_w8hoKD9Us0qykgemljotrg_36_18"/>
      <w:bookmarkStart w:id="942" w:name="Tc_0xs01c3MjU63KROm5RChHw_36_15"/>
      <w:bookmarkStart w:id="943" w:name="Tc_SrXkE2jiTEi9dKMEsaABZg_36_12"/>
      <w:bookmarkStart w:id="944" w:name="Tc_AR-V5ckX5USZeUMXkrVqbA_36_10"/>
      <w:bookmarkStart w:id="945" w:name="Tc_KTx1za4DX0Wmy_Ecq8vw8g_36_7"/>
      <w:bookmarkStart w:id="946" w:name="Tc_iFvdjafypEiWlEmo4AI1uw_36_0"/>
      <w:bookmarkStart w:id="947" w:name="Tc_9CqFN5t2Sk2E-fM6pvTpag_34_26"/>
      <w:bookmarkStart w:id="948" w:name="Tc_yIxHy6N7CEyj1EMSMcKA4Q_34_23"/>
      <w:bookmarkStart w:id="949" w:name="Tc_8PXP1mxSR0WhueFvselBmw_34_20"/>
      <w:bookmarkStart w:id="950" w:name="Tc_ZOnVHWVc0UWnJ6pO2eRYKw_34_17"/>
      <w:bookmarkStart w:id="951" w:name="Tc_9ChMeUcjr0-KdXrwp30rPw_34_15"/>
      <w:bookmarkStart w:id="952" w:name="Tc_GwOhgfARxkeNVwDxj8BleQ_34_14"/>
      <w:bookmarkStart w:id="953" w:name="Tc__NqDkqCxCUm6_RrZ7fsIfw_34_9"/>
      <w:bookmarkStart w:id="954" w:name="Tc_0Hw8RFrSGkiVkcH8fz5rBw_34_4"/>
      <w:bookmarkStart w:id="955" w:name="Tc_M2AtrwaH5UamuXd1-Lkpcg_34_0"/>
      <w:bookmarkStart w:id="956" w:name="Tc_WTpRq50lqUKg7bOIG1E4Aw_32_24"/>
      <w:bookmarkStart w:id="957" w:name="Tc_jqpBgC0R8U6WxnJLLc1GdA_32_18"/>
      <w:bookmarkStart w:id="958" w:name="Tc_LsA2B3PK70iMRiZ3gzxCyw_32_15"/>
      <w:bookmarkStart w:id="959" w:name="Tc_oLhtD6FAHESdEviN-ET65w_32_12"/>
      <w:bookmarkStart w:id="960" w:name="Tc_14O-TFynBEOy1KAfwJENLA_32_10"/>
      <w:bookmarkStart w:id="961" w:name="Tc_adt5oMggHkG7oRJ08iAHqQ_32_7"/>
      <w:bookmarkStart w:id="962" w:name="Tc_GhJlU6FxW0G1RRvhMv1i0g_32_5"/>
      <w:bookmarkStart w:id="963" w:name="Tc_rgiJS1ACbEiS3z-ZRm01qQ_32_2"/>
      <w:bookmarkStart w:id="964" w:name="Tc_tXi5QT4CvUS7mF2k4ptvtQ_32_0"/>
      <w:bookmarkStart w:id="965" w:name="Tc_57llGWyI3EanVYEZ7B_AMg_30_21"/>
      <w:bookmarkStart w:id="966" w:name="Tc_YgzhYEJz6U-zHFMYD9BHSw_30_18"/>
      <w:bookmarkStart w:id="967" w:name="Tc_ha5uNNt23kCU7K4kTPuRcA_30_15"/>
      <w:bookmarkStart w:id="968" w:name="Tc_dWKzDC5DBkGA-aR5CcDNgA_30_12"/>
      <w:bookmarkStart w:id="969" w:name="Tc__g9RD35IIE-GgT9Mvi0Xig_30_10"/>
      <w:bookmarkStart w:id="970" w:name="Tc_0MLNs_BfckuED15gMcBzVA_30_7"/>
      <w:bookmarkStart w:id="971" w:name="Tc_lPNlV-l7vkOeNPPLyQ0H2g_30_5"/>
      <w:bookmarkStart w:id="972" w:name="Tc_li3uX5DCrE2PmAhCXJqx-w_30_2"/>
      <w:bookmarkStart w:id="973" w:name="Tc_KVgCMVqxIkOoGqx2Tt85qQ_30_0"/>
      <w:bookmarkStart w:id="974" w:name="Tc_RByaY5x6OkmLtBuVfWYRfA_28_24"/>
      <w:bookmarkStart w:id="975" w:name="Tc_bvvAknnZz0exYT0SOPXtCQ_28_21"/>
      <w:bookmarkStart w:id="976" w:name="Tc_7PPOvj0vcUOFFU9GNLBq-Q_28_15"/>
      <w:bookmarkStart w:id="977" w:name="Tc_dufCaF-Ub0mHpfwrnjA3Mg_28_10"/>
      <w:bookmarkStart w:id="978" w:name="Tc_yMFtb0uwSUG2J4UA8C53FA_28_7"/>
      <w:bookmarkStart w:id="979" w:name="Tc_3ACs0XJVGU2OMEtlRNQkJA_28_5"/>
      <w:bookmarkStart w:id="980" w:name="Tc_pLeoeOh8eEy46Sqnq8JAbg_28_2"/>
      <w:bookmarkStart w:id="981" w:name="Tc_SSL26WpmzUy1APNEWWLLrQ_28_0"/>
      <w:bookmarkStart w:id="982" w:name="Tc_7c1DlrWFDkmh5AotiXEKmA_26_24"/>
      <w:bookmarkStart w:id="983" w:name="Tc_faiWVZRHLU-Oi_3x0WOtrg_26_21"/>
      <w:bookmarkStart w:id="984" w:name="Tc_xNp3fE3EVUOP1xWw_ID-EQ_26_15"/>
      <w:bookmarkStart w:id="985" w:name="Tc_h39Evs6Ix0erksQtxCiNSA_26_12"/>
      <w:bookmarkStart w:id="986" w:name="Tc_MeUBd5VsvkuIdjOByqZgGw_26_10"/>
      <w:bookmarkStart w:id="987" w:name="Tc_EQ3Utp2F10SIlcAcdHuPEA_26_7"/>
      <w:bookmarkStart w:id="988" w:name="Tc_FyqEyUlQY0-iJB7kDsUp5g_26_5"/>
      <w:bookmarkStart w:id="989" w:name="Tc_GCvOUbwGkESF56BEzU38uQ_26_2"/>
      <w:bookmarkStart w:id="990" w:name="Tc_DM6RDwAt8UW8QcGTW-JmPw_26_0"/>
      <w:bookmarkStart w:id="991" w:name="Tc_NhAZZ1UadEKp44qNmIz1Dw_24_24"/>
      <w:bookmarkStart w:id="992" w:name="Tc_4EcKNk140kmUbsFJCJ00_w_24_21"/>
      <w:bookmarkStart w:id="993" w:name="Tc_eDeOtm-W2EeAn732_7ivvw_24_15"/>
      <w:bookmarkStart w:id="994" w:name="Tc_QFy5f3IbfESjQc5nKeUrYQ_24_12"/>
      <w:bookmarkStart w:id="995" w:name="Tc_mIEH5bHj-kC-XzwsGS3sFQ_24_10"/>
      <w:bookmarkStart w:id="996" w:name="Tc_jdEXnte1u0qCYv8Qpa0y_A_24_7"/>
      <w:bookmarkStart w:id="997" w:name="Tc_zstcZQK-dEW0W3nHVLme6g_24_5"/>
      <w:bookmarkStart w:id="998" w:name="Tc_a-HQDat0z02J27ylgjbhng_24_2"/>
      <w:bookmarkStart w:id="999" w:name="Tc_gQGlimooAkapcGdeypQkKQ_24_0"/>
      <w:bookmarkStart w:id="1000" w:name="Tc_r9F0zc2Z10GlmSTcxhm5Vg_22_24"/>
      <w:bookmarkStart w:id="1001" w:name="Tc_aJA-g5v3nk61bFAC4Wrj-w_22_21"/>
      <w:bookmarkStart w:id="1002" w:name="Tc_oIWvQsl-cUuYFLf_Xgrhqg_22_18"/>
      <w:bookmarkStart w:id="1003" w:name="Tc_If5ai90rJEWrNVj5MOZ8ZA_22_15"/>
      <w:bookmarkStart w:id="1004" w:name="Tc_KR8Sf-sruE-dZA_58orZDQ_22_12"/>
      <w:bookmarkStart w:id="1005" w:name="Tc_kv9vUKJr4kG-xfF7pGdK_w_22_10"/>
      <w:bookmarkStart w:id="1006" w:name="Tc_xLShhUwom0uHgyzeRuM82Q_22_7"/>
      <w:bookmarkStart w:id="1007" w:name="Tc_Gd9cBigdqki4q-q8m7Fvwg_22_0"/>
      <w:bookmarkStart w:id="1008" w:name="Tc_KUeYRtgHnUqYGbrUrTQD7A_20_26"/>
      <w:bookmarkStart w:id="1009" w:name="Tc_c4OArfd6_0GYK3bMkDjGNQ_20_24"/>
      <w:bookmarkStart w:id="1010" w:name="Tc_FcWM6uKjqEGI4i4biV8Tmg_20_20"/>
      <w:bookmarkStart w:id="1011" w:name="Tc_XqGY17fFT0q5Mn-qoy98tw_20_17"/>
      <w:bookmarkStart w:id="1012" w:name="Tc_t1mJ_dwv4EaKWYq-s3T84g_20_15"/>
      <w:bookmarkStart w:id="1013" w:name="Tc_NDE6m0Dt_EGoGnGExxyEhA_20_9"/>
      <w:bookmarkStart w:id="1014" w:name="Tc_62i9hWwqAE2GAP8_ZGG4WA_20_4"/>
      <w:bookmarkStart w:id="1015" w:name="Tc_i9xoTN71z0mmEb6wV36x7A_20_0"/>
      <w:bookmarkStart w:id="1016" w:name="Tc_-Rm0XPuRQ02dc81grlu5YA_18_24"/>
      <w:bookmarkStart w:id="1017" w:name="Tc_xXqekN5MOEuc4qgrCBympg_18_18"/>
      <w:bookmarkStart w:id="1018" w:name="Tc_I6Ersw18a0CcnfPOllMb9w_18_15"/>
      <w:bookmarkStart w:id="1019" w:name="Tc_f1tydA5Su0KZiimc9uB-ug_18_12"/>
      <w:bookmarkStart w:id="1020" w:name="Tc_7mxL9-ObZkGeLqPG75jC0g_18_10"/>
      <w:bookmarkStart w:id="1021" w:name="Tc_L6FOQdtqkUuGw29i77UmoA_18_7"/>
      <w:bookmarkStart w:id="1022" w:name="Tc_GB5b9KwF9kOdPwpz6YitAg_18_5"/>
      <w:bookmarkStart w:id="1023" w:name="Tc_8x7uAgbZZ0OIim9ebNu98A_18_2"/>
      <w:bookmarkStart w:id="1024" w:name="Tc_z3R41aSbmEO6mfOaRl_j6Q_18_0"/>
      <w:bookmarkStart w:id="1025" w:name="Tc_Dj7cLKNE1E6aYCuL8B_NpA_16_24"/>
      <w:bookmarkStart w:id="1026" w:name="Tc_bjie27g2pE2CobFu18Gl3Q_16_21"/>
      <w:bookmarkStart w:id="1027" w:name="Tc_CTJefOmookO-3r0Iyj34TA_16_15"/>
      <w:bookmarkStart w:id="1028" w:name="Tc_-xdhWxvxmUiH2soUpSEvMA_16_12"/>
      <w:bookmarkStart w:id="1029" w:name="Tc_zqHTNw1zRU-cfmLrCrNGvw_16_10"/>
      <w:bookmarkStart w:id="1030" w:name="Tc_RPkbNazuNEerpyKHHVpYeQ_16_7"/>
      <w:bookmarkStart w:id="1031" w:name="Tc_ntbkhc5mOkGqS1lUYGVWng_16_5"/>
      <w:bookmarkStart w:id="1032" w:name="Tc_cvQMmfSYcECau22vDb5kLQ_16_2"/>
      <w:bookmarkStart w:id="1033" w:name="Tc_gHjNrZ8FXEqWcIs6hxtdbw_16_0"/>
      <w:bookmarkStart w:id="1034" w:name="Tc_28PONHwI5E6mkCEggt_lpg_14_24"/>
      <w:bookmarkStart w:id="1035" w:name="Tc_DekDTA0pL0iBjk_4PhShnw_14_21"/>
      <w:bookmarkStart w:id="1036" w:name="Tc_KV487xC5aECf8Y9m1xxQ7w_14_15"/>
      <w:bookmarkStart w:id="1037" w:name="Tc_LTAPPvq1AU2Rr2ltY8iYSA_14_12"/>
      <w:bookmarkStart w:id="1038" w:name="Tc_w5sssx_IqUewt3sJCtVkyQ_14_10"/>
      <w:bookmarkStart w:id="1039" w:name="Tc_l8YWpxIzKUG5Sa-P9P-aBA_14_7"/>
      <w:bookmarkStart w:id="1040" w:name="Tc_bgKwJ8Yc10WuekRHNRVUkw_14_5"/>
      <w:bookmarkStart w:id="1041" w:name="Tc_ZJsufXExLU2Td5KQvfrWVQ_14_2"/>
      <w:bookmarkStart w:id="1042" w:name="Tc_jglAMe90Ski9_cMBaLjl9w_14_0"/>
      <w:bookmarkStart w:id="1043" w:name="Tc_cexk9lUNM0q_-Uhmjwe9ig_12_24"/>
      <w:bookmarkStart w:id="1044" w:name="Tc_nOAc5g9H6kedPsrA17xiig_12_21"/>
      <w:bookmarkStart w:id="1045" w:name="Tc_EbpPRJzJ30ylp47JgsWS0A_12_18"/>
      <w:bookmarkStart w:id="1046" w:name="Tc_Ecr0uzk430ehdTKbJ_HqDw_12_15"/>
      <w:bookmarkStart w:id="1047" w:name="Tc_YjICAs1XCka1xnO8b-VtPA_12_12"/>
      <w:bookmarkStart w:id="1048" w:name="Tc_hik9ONpSikme8djfmrRy5Q_12_10"/>
      <w:bookmarkStart w:id="1049" w:name="Tc_2gEWdkYUQUGxmo_e2aAX6Q_12_7"/>
      <w:bookmarkStart w:id="1050" w:name="Tc_bGWGr1ILuE-Vk6TvB73UYw_12_0"/>
      <w:bookmarkStart w:id="1051" w:name="Tc_CyyW9Q6G60aBQQ8NIHHgBg_10_26"/>
      <w:bookmarkStart w:id="1052" w:name="Tc_e2z0sn2wyEKJ-Gi2j3haHQ_10_24"/>
      <w:bookmarkStart w:id="1053" w:name="Tc_qHOmyeBRAU-bHhGtE__npw_10_20"/>
      <w:bookmarkStart w:id="1054" w:name="Tc_lonO8k9hokeM8xlr4M3iDQ_10_17"/>
      <w:bookmarkStart w:id="1055" w:name="Tc_iETtG0UM-kOP5ExJV1FHMg_10_15"/>
      <w:bookmarkStart w:id="1056" w:name="Tc_g7UTWCzwb0uyUWobljE9gw_10_9"/>
      <w:bookmarkStart w:id="1057" w:name="Tc_A3TwAB-zt0GGYQcqoVERwg_10_4"/>
      <w:bookmarkStart w:id="1058" w:name="Tc_LkL5Ybyj7UawjtyHK31OhQ_10_0"/>
      <w:bookmarkStart w:id="1059" w:name="Tc_vghBj1506UuNCqJFmKSY9g_8_26"/>
      <w:bookmarkStart w:id="1060" w:name="Tc_lFUmTGY3MEmJp-TsEaKPJw_8_23"/>
      <w:bookmarkStart w:id="1061" w:name="Tc_INYTAy7LO0WZ0WPvHVQ2ww_8_20"/>
      <w:bookmarkStart w:id="1062" w:name="Tc_euifJOMJL0elvXuYSGv6Xw_8_17"/>
      <w:bookmarkStart w:id="1063" w:name="Tc_3qvnDXyA40qwxoHdRjpSbw_8_14"/>
      <w:bookmarkStart w:id="1064" w:name="Tc_33SNz-V7lE6piF7yfx2FGw_8_12"/>
      <w:bookmarkStart w:id="1065" w:name="Tc_tjJDttLZsE-GLHv6S8aiVQ_8_9"/>
      <w:bookmarkStart w:id="1066" w:name="Tc_AnuoC5jEd0mp_VHS3Jksdg_8_7"/>
      <w:bookmarkStart w:id="1067" w:name="Tc_muPXdSifF06X8qLHEUSEfg_8_4"/>
      <w:bookmarkStart w:id="1068" w:name="Tc_KKe5PMdjIU6A7csyKiSf4w_8_2"/>
      <w:bookmarkStart w:id="1069" w:name="Tc_s3vzANZYA0u35BuWnoEpjQ_7_26"/>
      <w:bookmarkStart w:id="1070" w:name="Tc_Qln-_SuRWEe-80dJvyO--A_7_23"/>
      <w:bookmarkStart w:id="1071" w:name="Tc_xbW7crQde0ijNltr_Mnc4g_7_20"/>
      <w:bookmarkStart w:id="1072" w:name="Tc_CPSAUWH9qE6NyHnC1yksUw_7_17"/>
      <w:bookmarkStart w:id="1073" w:name="Tc_etf_ZRnf-0SFrYGG2RSFog_6_26"/>
      <w:bookmarkStart w:id="1074" w:name="Tc_eDp3NDnUvUGzmFUKrLj3gg_6_23"/>
      <w:bookmarkStart w:id="1075" w:name="Tc_JSOYj3IBpUKHDUzUTidaUw_5_26"/>
      <w:bookmarkStart w:id="1076" w:name="Tc_ZJplIRFbFkKVRQGwuKcL9A_5_23"/>
      <w:bookmarkStart w:id="1077" w:name="Tc_7s37EuKz8U61qLKOEKfpMw_4_26"/>
      <w:bookmarkStart w:id="1078" w:name="Tc_R8x1ddCle0iz3ufxX2majw_3_12"/>
      <w:bookmarkStart w:id="1079" w:name="Tc_ZiJ9l9NvHEmumDkv1TUZFw_3_7"/>
      <w:bookmarkStart w:id="1080" w:name="Tc_HIA6CVy5mkasmV795D38jg_3_2"/>
      <w:bookmarkStart w:id="1081" w:name="Tc_JDBXRGq3yUuFFIwEQC4EAw_2_7"/>
      <w:bookmarkStart w:id="1082" w:name="Tc_nS44GFQ_2k6YAYQeb19aLQ_2_2"/>
      <w:bookmarkStart w:id="1083" w:name="Tc_EfGmnE7zy0Sxf5F3YZu12g_1_2"/>
      <w:bookmarkStart w:id="1084" w:name="_3626856e_533e_4dc3_9868_fdc4069c07ef"/>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p>
    <w:tbl>
      <w:tblPr>
        <w:tblW w:w="11013" w:type="dxa"/>
        <w:jc w:val="left"/>
        <w:tblInd w:w="0" w:type="dxa"/>
        <w:tblLayout w:type="fixed"/>
        <w:tblCellMar>
          <w:top w:w="0" w:type="dxa"/>
          <w:left w:w="0" w:type="dxa"/>
          <w:bottom w:w="0" w:type="dxa"/>
          <w:right w:w="0" w:type="dxa"/>
        </w:tblCellMar>
      </w:tblPr>
      <w:tblGrid>
        <w:gridCol w:w="931"/>
        <w:gridCol w:w="326"/>
        <w:gridCol w:w="436"/>
        <w:gridCol w:w="326"/>
        <w:gridCol w:w="181"/>
        <w:gridCol w:w="511"/>
        <w:gridCol w:w="326"/>
        <w:gridCol w:w="421"/>
        <w:gridCol w:w="326"/>
        <w:gridCol w:w="181"/>
        <w:gridCol w:w="436"/>
        <w:gridCol w:w="326"/>
        <w:gridCol w:w="511"/>
        <w:gridCol w:w="326"/>
        <w:gridCol w:w="196"/>
        <w:gridCol w:w="375"/>
        <w:gridCol w:w="326"/>
        <w:gridCol w:w="196"/>
        <w:gridCol w:w="555"/>
        <w:gridCol w:w="326"/>
        <w:gridCol w:w="213"/>
        <w:gridCol w:w="658"/>
        <w:gridCol w:w="326"/>
        <w:gridCol w:w="331"/>
        <w:gridCol w:w="690"/>
        <w:gridCol w:w="326"/>
        <w:gridCol w:w="215"/>
        <w:gridCol w:w="716"/>
      </w:tblGrid>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left"/>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56"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 the three and nine months ended September 30, 2025</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5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Class A Redeemable Convertible</w:t>
            </w:r>
          </w:p>
        </w:tc>
        <w:tc>
          <w:tcPr>
            <w:tcW w:w="326" w:type="dxa"/>
            <w:tcBorders/>
            <w:vAlign w:val="center"/>
          </w:tcPr>
          <w:p>
            <w:pPr>
              <w:pStyle w:val="TableContents"/>
              <w:bidi w:val="0"/>
              <w:spacing w:before="0" w:after="1"/>
              <w:ind w:left="0" w:right="0" w:hanging="0"/>
              <w:jc w:val="center"/>
              <w:rPr/>
            </w:pPr>
            <w:r>
              <w:rPr/>
              <w:t>​</w:t>
            </w:r>
          </w:p>
        </w:tc>
        <w:tc>
          <w:tcPr>
            <w:tcW w:w="136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Class B Convertible </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center"/>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5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vAlign w:val="center"/>
          </w:tcPr>
          <w:p>
            <w:pPr>
              <w:pStyle w:val="TableContents"/>
              <w:bidi w:val="0"/>
              <w:spacing w:before="0" w:after="1"/>
              <w:ind w:left="0" w:right="0" w:hanging="0"/>
              <w:jc w:val="center"/>
              <w:rPr/>
            </w:pPr>
            <w:r>
              <w:rPr/>
              <w:t>    </w:t>
            </w:r>
          </w:p>
        </w:tc>
        <w:tc>
          <w:tcPr>
            <w:tcW w:w="136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vAlign w:val="center"/>
          </w:tcPr>
          <w:p>
            <w:pPr>
              <w:pStyle w:val="TableContents"/>
              <w:bidi w:val="0"/>
              <w:spacing w:before="0" w:after="1"/>
              <w:ind w:left="0" w:right="0" w:hanging="0"/>
              <w:jc w:val="center"/>
              <w:rPr/>
            </w:pPr>
            <w:r>
              <w:rPr/>
              <w:t>    </w:t>
            </w:r>
          </w:p>
        </w:tc>
        <w:tc>
          <w:tcPr>
            <w:tcW w:w="14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1"/>
              <w:ind w:left="0" w:right="0" w:hanging="0"/>
              <w:jc w:val="left"/>
              <w:rPr/>
            </w:pPr>
            <w:r>
              <w:rPr/>
              <w:t>    </w:t>
            </w:r>
          </w:p>
        </w:tc>
        <w:tc>
          <w:tcPr>
            <w:tcW w:w="7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9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1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 and</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 Paid-in</w:t>
            </w:r>
          </w:p>
        </w:tc>
        <w:tc>
          <w:tcPr>
            <w:tcW w:w="32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Mezzanine</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center"/>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lef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January 1, 2025</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1,555</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14,947</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1,500</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16,603</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22,984</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(23,253)</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16,178</w:t>
            </w:r>
          </w:p>
        </w:tc>
      </w:tr>
      <w:tr>
        <w:trPr/>
        <w:tc>
          <w:tcPr>
            <w:tcW w:w="931"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Class A redeemable convertible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174</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55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174</w:t>
            </w:r>
          </w:p>
        </w:tc>
      </w:tr>
      <w:tr>
        <w:trPr/>
        <w:tc>
          <w:tcPr>
            <w:tcW w:w="931"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A redeemable convertible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(351)</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(351)</w:t>
            </w:r>
          </w:p>
        </w:tc>
      </w:tr>
      <w:tr>
        <w:trPr/>
        <w:tc>
          <w:tcPr>
            <w:tcW w:w="931"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B convertible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r>
      <w:tr>
        <w:trPr/>
        <w:tc>
          <w:tcPr>
            <w:tcW w:w="931"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1,033</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1,033</w:t>
            </w:r>
          </w:p>
        </w:tc>
      </w:tr>
      <w:tr>
        <w:trPr/>
        <w:tc>
          <w:tcPr>
            <w:tcW w:w="931"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March 31, 2025</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1,572</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15,121</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1,500</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16,603</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22,606</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(22,220)</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17,007</w:t>
            </w:r>
          </w:p>
        </w:tc>
      </w:tr>
      <w:tr>
        <w:trPr/>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Class A redeemable convertible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179</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179</w:t>
            </w:r>
          </w:p>
        </w:tc>
      </w:tr>
      <w:tr>
        <w:trPr/>
        <w:tc>
          <w:tcPr>
            <w:tcW w:w="931"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A redeemable convertible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(358)</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(358)</w:t>
            </w:r>
          </w:p>
        </w:tc>
      </w:tr>
      <w:tr>
        <w:trPr/>
        <w:tc>
          <w:tcPr>
            <w:tcW w:w="931"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B convertible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r>
      <w:tr>
        <w:trPr/>
        <w:tc>
          <w:tcPr>
            <w:tcW w:w="931"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 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392</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392</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value of cash flow hedge</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1,590</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15,300</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1,500</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16,711</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22,613</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(22,874)</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(152)</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16,387</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Class A redeemable convertible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w:t>
            </w:r>
          </w:p>
        </w:tc>
      </w:tr>
      <w:tr>
        <w:trPr/>
        <w:tc>
          <w:tcPr>
            <w:tcW w:w="931"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A redeemable convertible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(366)</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(366)</w:t>
            </w:r>
          </w:p>
        </w:tc>
      </w:tr>
      <w:tr>
        <w:trPr/>
        <w:tc>
          <w:tcPr>
            <w:tcW w:w="931"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B convertible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r>
      <w:tr>
        <w:trPr/>
        <w:tc>
          <w:tcPr>
            <w:tcW w:w="931"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 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value of cash flow hedge</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1,760</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1,760</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1,608</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15,483</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1,500</w:t>
            </w:r>
          </w:p>
        </w:tc>
        <w:tc>
          <w:tcPr>
            <w:tcW w:w="326" w:type="dxa"/>
            <w:tcBorders/>
            <w:shd w:fill="CCEEFF" w:val="clear"/>
            <w:vAlign w:val="center"/>
          </w:tcPr>
          <w:p>
            <w:pPr>
              <w:pStyle w:val="TableContents"/>
              <w:bidi w:val="0"/>
              <w:spacing w:before="0" w:after="1"/>
              <w:ind w:left="0" w:right="0" w:hanging="0"/>
              <w:jc w:val="righ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16,711</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22,383</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(21,113)</w:t>
            </w:r>
          </w:p>
        </w:tc>
        <w:tc>
          <w:tcPr>
            <w:tcW w:w="326" w:type="dxa"/>
            <w:tcBorders/>
            <w:shd w:fill="CCEEFF" w:val="clear"/>
            <w:vAlign w:val="center"/>
          </w:tcPr>
          <w:p>
            <w:pPr>
              <w:pStyle w:val="TableContents"/>
              <w:bidi w:val="0"/>
              <w:spacing w:before="0" w:after="1"/>
              <w:ind w:left="0" w:right="0" w:hanging="0"/>
              <w:jc w:val="righ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(154)</w:t>
            </w:r>
          </w:p>
        </w:tc>
        <w:tc>
          <w:tcPr>
            <w:tcW w:w="326" w:type="dxa"/>
            <w:tcBorders/>
            <w:shd w:fill="CCEEFF" w:val="clear"/>
            <w:vAlign w:val="center"/>
          </w:tcPr>
          <w:p>
            <w:pPr>
              <w:pStyle w:val="TableContents"/>
              <w:bidi w:val="0"/>
              <w:spacing w:before="0" w:after="1"/>
              <w:ind w:left="0" w:right="0" w:hanging="0"/>
              <w:jc w:val="righ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16"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b/>
                <w:sz w:val="14"/>
              </w:rPr>
            </w:pPr>
            <w:r>
              <w:rPr>
                <w:rFonts w:ascii="Times New Roman;Times;serif" w:hAnsi="Times New Roman;Times;serif"/>
                <w:b/>
                <w:sz w:val="14"/>
              </w:rPr>
              <w:t>18,099</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85" w:name="_1ffe294f_53a0_4c5f_9146_4937683d77ef"/>
      <w:bookmarkEnd w:id="1085"/>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1086" w:name="STATEMENTSOFCASHFLOWS_853689"/>
      <w:bookmarkStart w:id="1087" w:name="_Hlk174582839"/>
      <w:bookmarkEnd w:id="1086"/>
      <w:bookmarkEnd w:id="1087"/>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088" w:name="Tc_BWY6IEYXQk-iXOZVXufpaw_52_0"/>
      <w:bookmarkStart w:id="1089" w:name="Tc_wWoMrryDo02LaGqQzsFQUQ_50_0"/>
      <w:bookmarkStart w:id="1090" w:name="Tc_6Gg7_akCC0SZ6KEM7AJ-UQ_48_0"/>
      <w:bookmarkStart w:id="1091" w:name="Tc_SsWUZDEM0UWFdtS1S64Oog_47_0"/>
      <w:bookmarkStart w:id="1092" w:name="Tc_SRb54WXst0mhm1F0RS24SQ_45_5"/>
      <w:bookmarkStart w:id="1093" w:name="Tc_HSy-WPP2l0aHMa5ZBDQ68A_45_2"/>
      <w:bookmarkStart w:id="1094" w:name="Tc_GQRQWby8aEGqj_diLUBUtA_45_0"/>
      <w:bookmarkStart w:id="1095" w:name="Tc_BTzXPgFil0io4YjYKkuZkQ_44_0"/>
      <w:bookmarkStart w:id="1096" w:name="Tc_pJQETqHbRUO_AlHgf91yhw_42_5"/>
      <w:bookmarkStart w:id="1097" w:name="Tc_IjteLS9ChkecPy-bSwhv5Q_42_2"/>
      <w:bookmarkStart w:id="1098" w:name="Tc_lTj_YJLaK0CxEn0NUzli-Q_42_0"/>
      <w:bookmarkStart w:id="1099" w:name="Tc_NRPeZRICdUeEAAbXB9laCQ_40_5"/>
      <w:bookmarkStart w:id="1100" w:name="Tc_pQbX8CvR4Uau0Vlvd8FikA_40_2"/>
      <w:bookmarkStart w:id="1101" w:name="Tc_lw4xyOTalE2iEhybxEfRlg_40_0"/>
      <w:bookmarkStart w:id="1102" w:name="Tc_V21oFQpsXkK6FnhsEE-uWg_38_0"/>
      <w:bookmarkStart w:id="1103" w:name="Tc_iypLgVCqC0aMgktFxM5WZA_36_0"/>
      <w:bookmarkStart w:id="1104" w:name="Tc_4eAZy5eKgkm-QcnPha3QaQ_35_3"/>
      <w:bookmarkStart w:id="1105" w:name="Tc_h6ku7yI9DESSfAcooNMgEQ_35_0"/>
      <w:bookmarkStart w:id="1106" w:name="Tc_tpEZk_KYukOf_-KaIzZzkg_34_3"/>
      <w:bookmarkStart w:id="1107" w:name="Tc_7-QNdb9MSEKdduNwX_gNsA_34_0"/>
      <w:bookmarkStart w:id="1108" w:name="Tc_NhWPTvqcBEGo5TVEiQxn8A_33_6"/>
      <w:bookmarkStart w:id="1109" w:name="Tc_Qv8Kliq5XEOXr0RQ3NfAag_33_0"/>
      <w:bookmarkStart w:id="1110" w:name="Tc_i-hSOt9FqEWX00NpzrAbTA_32_0"/>
      <w:bookmarkStart w:id="1111" w:name="Tc_pzs3PbeuVEWNjtNRkg-77g_31_3"/>
      <w:bookmarkStart w:id="1112" w:name="Tc_uf0uGh9pyUaZVj-gGLMzCw_31_0"/>
      <w:bookmarkStart w:id="1113" w:name="Tc_w32vI0zRfk--OxmNStXEJg_30_3"/>
      <w:bookmarkStart w:id="1114" w:name="Tc_A3HfWmN7hU-DuidorbLtLQ_30_0"/>
      <w:bookmarkStart w:id="1115" w:name="Tc_K1D3n0e740W2uvPxpQaI-g_29_3"/>
      <w:bookmarkStart w:id="1116" w:name="Tc_K71oO4Y4iEyYz1yfGZZizg_29_0"/>
      <w:bookmarkStart w:id="1117" w:name="Tc_2ftH32tLv0CJzL5pbiMzoQ_28_3"/>
      <w:bookmarkStart w:id="1118" w:name="Tc_uYlzEgNIu0ePpwn01rzYBA_28_0"/>
      <w:bookmarkStart w:id="1119" w:name="Tc_nGqfNkHaJkaAFp6RexyJyw_27_3"/>
      <w:bookmarkStart w:id="1120" w:name="Tc_AESluHbmSk6lTvQZtYmVHQ_27_0"/>
      <w:bookmarkStart w:id="1121" w:name="Tc_f0Ki9Zg74EKwSmfALM6Rig_26_0"/>
      <w:bookmarkStart w:id="1122" w:name="Tc_NIZIIAl-70KABE-vgU5hlg_25_0"/>
      <w:bookmarkStart w:id="1123" w:name="Tc_-Y4qMvcmi0Cs2knghN98ug_23_0"/>
      <w:bookmarkStart w:id="1124" w:name="Tc_XgPxOSGVoE24YOXNfMdvIw_22_0"/>
      <w:bookmarkStart w:id="1125" w:name="Tc_7nX_tJYiLU6rxEMQFwZjFA_21_0"/>
      <w:bookmarkStart w:id="1126" w:name="Tc_MLcpl6hV_ESfagnD61PP2g_19_0"/>
      <w:bookmarkStart w:id="1127" w:name="Tc_Z3cArbk8f0e42vQcCi_Xyg_18_0"/>
      <w:bookmarkStart w:id="1128" w:name="Tc_5bPomtBrQE-D5jBpMb2ZSA_17_0"/>
      <w:bookmarkStart w:id="1129" w:name="Tc_0zewfiA0B0iVaearQNtHvw_16_0"/>
      <w:bookmarkStart w:id="1130" w:name="Tc_-29V6L4oi0GkVhhgSxx-dQ_15_0"/>
      <w:bookmarkStart w:id="1131" w:name="Tc_Fops49ASl0KiUZ3rNb6RUA_14_0"/>
      <w:bookmarkStart w:id="1132" w:name="Tc_aybZRF8B_ESzJKuNJBQgtw_13_0"/>
      <w:bookmarkStart w:id="1133" w:name="Tc_Ta-9X4XUNEa0NmLNgovs9g_12_0"/>
      <w:bookmarkStart w:id="1134" w:name="Tc_A57PxImxRUSOYU4bgUu1wQ_11_0"/>
      <w:bookmarkStart w:id="1135" w:name="Tc_vPPzqDxjlkWhdVGKSBm9OA_10_6"/>
      <w:bookmarkStart w:id="1136" w:name="Tc_lhbqD1e6u0WdiHJPFP9cqw_10_0"/>
      <w:bookmarkStart w:id="1137" w:name="Tc_SFc1kIYMukKhQhnl1WaD_w_9_0"/>
      <w:bookmarkStart w:id="1138" w:name="Tc_raAMcYEYAU2bGqFQZmC1Tw_8_0"/>
      <w:bookmarkStart w:id="1139" w:name="Tc_kVG6urr1u0KCQQsLMe28iQ_7_6"/>
      <w:bookmarkStart w:id="1140" w:name="Tc_6ttKP1_P906N5-6uxbvADw_7_0"/>
      <w:bookmarkStart w:id="1141" w:name="Tc_UCtbyH9rP0G2Go0QaheB6Q_6_0"/>
      <w:bookmarkStart w:id="1142" w:name="Tc_XDL4DeFZik2uIQL7WxNaug_5_0"/>
      <w:bookmarkStart w:id="1143" w:name="Tc_nhSCyav9bk2dNXW_qkmjZg_4_5"/>
      <w:bookmarkStart w:id="1144" w:name="Tc_6eTTAE2f7k-pWdTOqn8Lhw_4_2"/>
      <w:bookmarkStart w:id="1145" w:name="Tc_kj4ud75wRU-2wuQ4BVdhfw_4_0"/>
      <w:bookmarkStart w:id="1146" w:name="Tc_wzZj0Slbqkyrc4YrZF78dw_3_0"/>
      <w:bookmarkStart w:id="1147" w:name="Tc_LGpE96Hl80Kpa0381M8UOg_2_5"/>
      <w:bookmarkStart w:id="1148" w:name="Tc_pBA8mUkAZkiVq7alvg1Beg_2_2"/>
      <w:bookmarkStart w:id="1149" w:name="Tc_gLCILbfq3kOuo3qUPOwt-Q_1_2"/>
      <w:bookmarkStart w:id="1150" w:name="_e43528c8_2b8b_4700_b3f7_aa82619b4e93"/>
      <w:bookmarkStart w:id="1151" w:name="Tc_BWY6IEYXQk-iXOZVXufpaw_52_0"/>
      <w:bookmarkStart w:id="1152" w:name="Tc_wWoMrryDo02LaGqQzsFQUQ_50_0"/>
      <w:bookmarkStart w:id="1153" w:name="Tc_6Gg7_akCC0SZ6KEM7AJ-UQ_48_0"/>
      <w:bookmarkStart w:id="1154" w:name="Tc_SsWUZDEM0UWFdtS1S64Oog_47_0"/>
      <w:bookmarkStart w:id="1155" w:name="Tc_SRb54WXst0mhm1F0RS24SQ_45_5"/>
      <w:bookmarkStart w:id="1156" w:name="Tc_HSy-WPP2l0aHMa5ZBDQ68A_45_2"/>
      <w:bookmarkStart w:id="1157" w:name="Tc_GQRQWby8aEGqj_diLUBUtA_45_0"/>
      <w:bookmarkStart w:id="1158" w:name="Tc_BTzXPgFil0io4YjYKkuZkQ_44_0"/>
      <w:bookmarkStart w:id="1159" w:name="Tc_pJQETqHbRUO_AlHgf91yhw_42_5"/>
      <w:bookmarkStart w:id="1160" w:name="Tc_IjteLS9ChkecPy-bSwhv5Q_42_2"/>
      <w:bookmarkStart w:id="1161" w:name="Tc_lTj_YJLaK0CxEn0NUzli-Q_42_0"/>
      <w:bookmarkStart w:id="1162" w:name="Tc_NRPeZRICdUeEAAbXB9laCQ_40_5"/>
      <w:bookmarkStart w:id="1163" w:name="Tc_pQbX8CvR4Uau0Vlvd8FikA_40_2"/>
      <w:bookmarkStart w:id="1164" w:name="Tc_lw4xyOTalE2iEhybxEfRlg_40_0"/>
      <w:bookmarkStart w:id="1165" w:name="Tc_V21oFQpsXkK6FnhsEE-uWg_38_0"/>
      <w:bookmarkStart w:id="1166" w:name="Tc_iypLgVCqC0aMgktFxM5WZA_36_0"/>
      <w:bookmarkStart w:id="1167" w:name="Tc_4eAZy5eKgkm-QcnPha3QaQ_35_3"/>
      <w:bookmarkStart w:id="1168" w:name="Tc_h6ku7yI9DESSfAcooNMgEQ_35_0"/>
      <w:bookmarkStart w:id="1169" w:name="Tc_tpEZk_KYukOf_-KaIzZzkg_34_3"/>
      <w:bookmarkStart w:id="1170" w:name="Tc_7-QNdb9MSEKdduNwX_gNsA_34_0"/>
      <w:bookmarkStart w:id="1171" w:name="Tc_NhWPTvqcBEGo5TVEiQxn8A_33_6"/>
      <w:bookmarkStart w:id="1172" w:name="Tc_Qv8Kliq5XEOXr0RQ3NfAag_33_0"/>
      <w:bookmarkStart w:id="1173" w:name="Tc_i-hSOt9FqEWX00NpzrAbTA_32_0"/>
      <w:bookmarkStart w:id="1174" w:name="Tc_pzs3PbeuVEWNjtNRkg-77g_31_3"/>
      <w:bookmarkStart w:id="1175" w:name="Tc_uf0uGh9pyUaZVj-gGLMzCw_31_0"/>
      <w:bookmarkStart w:id="1176" w:name="Tc_w32vI0zRfk--OxmNStXEJg_30_3"/>
      <w:bookmarkStart w:id="1177" w:name="Tc_A3HfWmN7hU-DuidorbLtLQ_30_0"/>
      <w:bookmarkStart w:id="1178" w:name="Tc_K1D3n0e740W2uvPxpQaI-g_29_3"/>
      <w:bookmarkStart w:id="1179" w:name="Tc_K71oO4Y4iEyYz1yfGZZizg_29_0"/>
      <w:bookmarkStart w:id="1180" w:name="Tc_2ftH32tLv0CJzL5pbiMzoQ_28_3"/>
      <w:bookmarkStart w:id="1181" w:name="Tc_uYlzEgNIu0ePpwn01rzYBA_28_0"/>
      <w:bookmarkStart w:id="1182" w:name="Tc_nGqfNkHaJkaAFp6RexyJyw_27_3"/>
      <w:bookmarkStart w:id="1183" w:name="Tc_AESluHbmSk6lTvQZtYmVHQ_27_0"/>
      <w:bookmarkStart w:id="1184" w:name="Tc_f0Ki9Zg74EKwSmfALM6Rig_26_0"/>
      <w:bookmarkStart w:id="1185" w:name="Tc_NIZIIAl-70KABE-vgU5hlg_25_0"/>
      <w:bookmarkStart w:id="1186" w:name="Tc_-Y4qMvcmi0Cs2knghN98ug_23_0"/>
      <w:bookmarkStart w:id="1187" w:name="Tc_XgPxOSGVoE24YOXNfMdvIw_22_0"/>
      <w:bookmarkStart w:id="1188" w:name="Tc_7nX_tJYiLU6rxEMQFwZjFA_21_0"/>
      <w:bookmarkStart w:id="1189" w:name="Tc_MLcpl6hV_ESfagnD61PP2g_19_0"/>
      <w:bookmarkStart w:id="1190" w:name="Tc_Z3cArbk8f0e42vQcCi_Xyg_18_0"/>
      <w:bookmarkStart w:id="1191" w:name="Tc_5bPomtBrQE-D5jBpMb2ZSA_17_0"/>
      <w:bookmarkStart w:id="1192" w:name="Tc_0zewfiA0B0iVaearQNtHvw_16_0"/>
      <w:bookmarkStart w:id="1193" w:name="Tc_-29V6L4oi0GkVhhgSxx-dQ_15_0"/>
      <w:bookmarkStart w:id="1194" w:name="Tc_Fops49ASl0KiUZ3rNb6RUA_14_0"/>
      <w:bookmarkStart w:id="1195" w:name="Tc_aybZRF8B_ESzJKuNJBQgtw_13_0"/>
      <w:bookmarkStart w:id="1196" w:name="Tc_Ta-9X4XUNEa0NmLNgovs9g_12_0"/>
      <w:bookmarkStart w:id="1197" w:name="Tc_A57PxImxRUSOYU4bgUu1wQ_11_0"/>
      <w:bookmarkStart w:id="1198" w:name="Tc_vPPzqDxjlkWhdVGKSBm9OA_10_6"/>
      <w:bookmarkStart w:id="1199" w:name="Tc_lhbqD1e6u0WdiHJPFP9cqw_10_0"/>
      <w:bookmarkStart w:id="1200" w:name="Tc_SFc1kIYMukKhQhnl1WaD_w_9_0"/>
      <w:bookmarkStart w:id="1201" w:name="Tc_raAMcYEYAU2bGqFQZmC1Tw_8_0"/>
      <w:bookmarkStart w:id="1202" w:name="Tc_kVG6urr1u0KCQQsLMe28iQ_7_6"/>
      <w:bookmarkStart w:id="1203" w:name="Tc_6ttKP1_P906N5-6uxbvADw_7_0"/>
      <w:bookmarkStart w:id="1204" w:name="Tc_UCtbyH9rP0G2Go0QaheB6Q_6_0"/>
      <w:bookmarkStart w:id="1205" w:name="Tc_XDL4DeFZik2uIQL7WxNaug_5_0"/>
      <w:bookmarkStart w:id="1206" w:name="Tc_nhSCyav9bk2dNXW_qkmjZg_4_5"/>
      <w:bookmarkStart w:id="1207" w:name="Tc_6eTTAE2f7k-pWdTOqn8Lhw_4_2"/>
      <w:bookmarkStart w:id="1208" w:name="Tc_kj4ud75wRU-2wuQ4BVdhfw_4_0"/>
      <w:bookmarkStart w:id="1209" w:name="Tc_wzZj0Slbqkyrc4YrZF78dw_3_0"/>
      <w:bookmarkStart w:id="1210" w:name="Tc_LGpE96Hl80Kpa0381M8UOg_2_5"/>
      <w:bookmarkStart w:id="1211" w:name="Tc_pBA8mUkAZkiVq7alvg1Beg_2_2"/>
      <w:bookmarkStart w:id="1212" w:name="Tc_gLCILbfq3kOuo3qUPOwt-Q_1_2"/>
      <w:bookmarkStart w:id="1213" w:name="_e43528c8_2b8b_4700_b3f7_aa82619b4e93"/>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p>
    <w:tbl>
      <w:tblPr>
        <w:tblW w:w="10205" w:type="dxa"/>
        <w:jc w:val="left"/>
        <w:tblInd w:w="0" w:type="dxa"/>
        <w:tblLayout w:type="fixed"/>
        <w:tblCellMar>
          <w:top w:w="0" w:type="dxa"/>
          <w:left w:w="0" w:type="dxa"/>
          <w:bottom w:w="0" w:type="dxa"/>
          <w:right w:w="0" w:type="dxa"/>
        </w:tblCellMar>
      </w:tblPr>
      <w:tblGrid>
        <w:gridCol w:w="7447"/>
        <w:gridCol w:w="326"/>
        <w:gridCol w:w="240"/>
        <w:gridCol w:w="738"/>
        <w:gridCol w:w="400"/>
        <w:gridCol w:w="240"/>
        <w:gridCol w:w="814"/>
      </w:tblGrid>
      <w:tr>
        <w:trPr/>
        <w:tc>
          <w:tcPr>
            <w:tcW w:w="7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728845" cy="175260"/>
                      <wp:effectExtent l="0" t="0" r="0" b="0"/>
                      <wp:wrapNone/>
                      <wp:docPr id="65" name="Frame65"/>
                      <a:graphic xmlns:a="http://schemas.openxmlformats.org/drawingml/2006/main">
                        <a:graphicData uri="http://schemas.microsoft.com/office/word/2010/wordprocessingShape">
                          <wps:wsp>
                            <wps:cNvSpPr txBox="1"/>
                            <wps:spPr>
                              <a:xfrm>
                                <a:off x="0" y="0"/>
                                <a:ext cx="4728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2400" cy="175260"/>
                      <wp:effectExtent l="0" t="0" r="0" b="0"/>
                      <wp:wrapNone/>
                      <wp:docPr id="67" name="Frame6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68630" cy="175260"/>
                      <wp:effectExtent l="0" t="0" r="0" b="0"/>
                      <wp:wrapNone/>
                      <wp:docPr id="68" name="Frame68"/>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54000" cy="175260"/>
                      <wp:effectExtent l="0" t="0" r="0" b="0"/>
                      <wp:wrapNone/>
                      <wp:docPr id="69" name="Frame69"/>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52400" cy="175260"/>
                      <wp:effectExtent l="0" t="0" r="0" b="0"/>
                      <wp:wrapNone/>
                      <wp:docPr id="70" name="Frame7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16890" cy="175260"/>
                      <wp:effectExtent l="0" t="0" r="0" b="0"/>
                      <wp:wrapNone/>
                      <wp:docPr id="71" name="Frame71"/>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4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r>
      <w:tr>
        <w:trPr/>
        <w:tc>
          <w:tcPr>
            <w:tcW w:w="74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0" w:type="dxa"/>
            <w:tcBorders/>
            <w:vAlign w:val="center"/>
          </w:tcPr>
          <w:p>
            <w:pPr>
              <w:pStyle w:val="TableContents"/>
              <w:bidi w:val="0"/>
              <w:spacing w:before="0" w:after="1"/>
              <w:ind w:left="0" w:right="0" w:hanging="0"/>
              <w:jc w:val="center"/>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1"/>
              <w:ind w:left="0" w:right="0" w:hanging="0"/>
              <w:jc w:val="center"/>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738" w:type="dxa"/>
            <w:tcBorders/>
            <w:shd w:fill="CCEEFF" w:val="clear"/>
            <w:vAlign w:val="center"/>
          </w:tcPr>
          <w:p>
            <w:pPr>
              <w:pStyle w:val="TableContents"/>
              <w:bidi w:val="0"/>
              <w:spacing w:before="0" w:after="1"/>
              <w:ind w:left="0" w:right="0" w:hanging="0"/>
              <w:jc w:val="center"/>
              <w:rPr/>
            </w:pPr>
            <w:r>
              <w:rPr/>
              <w:t>​</w:t>
            </w:r>
          </w:p>
        </w:tc>
        <w:tc>
          <w:tcPr>
            <w:tcW w:w="400" w:type="dxa"/>
            <w:tcBorders/>
            <w:shd w:fill="CCEEFF" w:val="clear"/>
            <w:vAlign w:val="center"/>
          </w:tcPr>
          <w:p>
            <w:pPr>
              <w:pStyle w:val="TableContents"/>
              <w:bidi w:val="0"/>
              <w:spacing w:before="0" w:after="1"/>
              <w:ind w:left="0" w:right="0" w:hanging="0"/>
              <w:jc w:val="center"/>
              <w:rPr/>
            </w:pPr>
            <w:r>
              <w:rPr/>
              <w:t>​</w:t>
            </w:r>
          </w:p>
        </w:tc>
        <w:tc>
          <w:tcPr>
            <w:tcW w:w="240" w:type="dxa"/>
            <w:tcBorders/>
            <w:shd w:fill="CCEEFF" w:val="clear"/>
            <w:vAlign w:val="center"/>
          </w:tcPr>
          <w:p>
            <w:pPr>
              <w:pStyle w:val="TableContents"/>
              <w:bidi w:val="0"/>
              <w:spacing w:before="0" w:after="1"/>
              <w:ind w:left="0" w:right="0" w:hanging="0"/>
              <w:jc w:val="center"/>
              <w:rPr/>
            </w:pPr>
            <w:r>
              <w:rPr/>
              <w:t>​</w:t>
            </w:r>
          </w:p>
        </w:tc>
        <w:tc>
          <w:tcPr>
            <w:tcW w:w="814" w:type="dxa"/>
            <w:tcBorders/>
            <w:shd w:fill="CCEEFF" w:val="clear"/>
            <w:vAlign w:val="center"/>
          </w:tcPr>
          <w:p>
            <w:pPr>
              <w:pStyle w:val="TableContents"/>
              <w:bidi w:val="0"/>
              <w:spacing w:before="0" w:after="1"/>
              <w:ind w:left="0" w:right="0" w:hanging="0"/>
              <w:jc w:val="center"/>
              <w:rPr/>
            </w:pPr>
            <w:r>
              <w:rPr/>
              <w:t>​</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2,141</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(3,467)</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to net cash provided by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 </w:t>
            </w:r>
          </w:p>
        </w:tc>
        <w:tc>
          <w:tcPr>
            <w:tcW w:w="814" w:type="dxa"/>
            <w:tcBorders/>
            <w:shd w:fill="CCEEFF" w:val="clear"/>
            <w:vAlign w:val="center"/>
          </w:tcPr>
          <w:p>
            <w:pPr>
              <w:pStyle w:val="TableContents"/>
              <w:bidi w:val="0"/>
              <w:spacing w:before="0" w:after="1"/>
              <w:ind w:left="0" w:right="0" w:hanging="0"/>
              <w:jc w:val="right"/>
              <w:rPr/>
            </w:pPr>
            <w:r>
              <w:rPr/>
              <w:t>​</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528</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 </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754</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 </w:t>
            </w:r>
          </w:p>
        </w:tc>
        <w:tc>
          <w:tcPr>
            <w:tcW w:w="814" w:type="dxa"/>
            <w:tcBorders/>
            <w:shd w:fill="CCEEFF" w:val="clear"/>
            <w:vAlign w:val="center"/>
          </w:tcPr>
          <w:p>
            <w:pPr>
              <w:pStyle w:val="TableContents"/>
              <w:bidi w:val="0"/>
              <w:spacing w:before="0" w:after="1"/>
              <w:ind w:left="0" w:right="0" w:hanging="0"/>
              <w:jc w:val="right"/>
              <w:rPr/>
            </w:pPr>
            <w:r>
              <w:rPr/>
              <w:t>—</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 </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 </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449</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w:t>
            </w:r>
          </w:p>
        </w:tc>
        <w:tc>
          <w:tcPr>
            <w:tcW w:w="814" w:type="dxa"/>
            <w:tcBorders/>
            <w:vAlign w:val="center"/>
          </w:tcPr>
          <w:p>
            <w:pPr>
              <w:pStyle w:val="TableContents"/>
              <w:bidi w:val="0"/>
              <w:spacing w:before="0" w:after="1"/>
              <w:ind w:left="0" w:right="0" w:hanging="0"/>
              <w:jc w:val="right"/>
              <w:rPr/>
            </w:pPr>
            <w:r>
              <w:rPr/>
              <w:t>—</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 </w:t>
            </w:r>
          </w:p>
        </w:tc>
        <w:tc>
          <w:tcPr>
            <w:tcW w:w="814" w:type="dxa"/>
            <w:tcBorders/>
            <w:shd w:fill="CCEEFF" w:val="clear"/>
            <w:vAlign w:val="center"/>
          </w:tcPr>
          <w:p>
            <w:pPr>
              <w:pStyle w:val="TableContents"/>
              <w:bidi w:val="0"/>
              <w:spacing w:before="0" w:after="1"/>
              <w:ind w:left="0" w:right="0" w:hanging="0"/>
              <w:jc w:val="right"/>
              <w:rPr/>
            </w:pPr>
            <w:r>
              <w:rPr/>
              <w:t>​</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Due from clearing broker</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 </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Commissions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(1,041)</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 </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(1,432)</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receivables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 </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 </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and accrued expenses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 </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1,160</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Commissions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636</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 </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(442)</w:t>
            </w:r>
          </w:p>
        </w:tc>
        <w:tc>
          <w:tcPr>
            <w:tcW w:w="400" w:type="dxa"/>
            <w:tcBorders/>
            <w:vAlign w:val="center"/>
          </w:tcPr>
          <w:p>
            <w:pPr>
              <w:pStyle w:val="TableContents"/>
              <w:bidi w:val="0"/>
              <w:spacing w:before="0" w:after="1"/>
              <w:ind w:left="0" w:right="0" w:hanging="0"/>
              <w:jc w:val="righ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2,048</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(2,433)</w:t>
            </w:r>
          </w:p>
        </w:tc>
      </w:tr>
      <w:tr>
        <w:trPr/>
        <w:tc>
          <w:tcPr>
            <w:tcW w:w="74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 </w:t>
            </w:r>
          </w:p>
        </w:tc>
        <w:tc>
          <w:tcPr>
            <w:tcW w:w="814" w:type="dxa"/>
            <w:tcBorders/>
            <w:vAlign w:val="center"/>
          </w:tcPr>
          <w:p>
            <w:pPr>
              <w:pStyle w:val="TableContents"/>
              <w:bidi w:val="0"/>
              <w:spacing w:before="0" w:after="1"/>
              <w:ind w:left="0" w:right="0" w:hanging="0"/>
              <w:jc w:val="right"/>
              <w:rPr/>
            </w:pPr>
            <w:r>
              <w:rPr/>
              <w:t>​</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pPr>
            <w:r>
              <w:rPr/>
              <w:t>  </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 </w:t>
            </w:r>
          </w:p>
        </w:tc>
        <w:tc>
          <w:tcPr>
            <w:tcW w:w="814" w:type="dxa"/>
            <w:tcBorders/>
            <w:shd w:fill="CCEEFF" w:val="clear"/>
            <w:vAlign w:val="center"/>
          </w:tcPr>
          <w:p>
            <w:pPr>
              <w:pStyle w:val="TableContents"/>
              <w:bidi w:val="0"/>
              <w:spacing w:before="0" w:after="1"/>
              <w:ind w:left="0" w:right="0" w:hanging="0"/>
              <w:jc w:val="right"/>
              <w:rPr/>
            </w:pPr>
            <w:r>
              <w:rPr/>
              <w:t>  </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c>
          <w:tcPr>
            <w:tcW w:w="400" w:type="dxa"/>
            <w:tcBorders/>
            <w:vAlign w:val="center"/>
          </w:tcPr>
          <w:p>
            <w:pPr>
              <w:pStyle w:val="TableContents"/>
              <w:bidi w:val="0"/>
              <w:spacing w:before="0" w:after="1"/>
              <w:ind w:left="0" w:right="0" w:hanging="0"/>
              <w:jc w:val="righ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 </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r>
      <w:tr>
        <w:trPr/>
        <w:tc>
          <w:tcPr>
            <w:tcW w:w="74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w:t>
            </w:r>
          </w:p>
        </w:tc>
        <w:tc>
          <w:tcPr>
            <w:tcW w:w="814" w:type="dxa"/>
            <w:tcBorders/>
            <w:vAlign w:val="center"/>
          </w:tcPr>
          <w:p>
            <w:pPr>
              <w:pStyle w:val="TableContents"/>
              <w:bidi w:val="0"/>
              <w:spacing w:before="0" w:after="1"/>
              <w:ind w:left="0" w:right="0" w:hanging="0"/>
              <w:jc w:val="right"/>
              <w:rPr/>
            </w:pPr>
            <w:r>
              <w:rPr/>
              <w:t>​</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8" w:type="dxa"/>
            <w:tcBorders/>
            <w:shd w:fill="CCEEFF" w:val="clear"/>
            <w:vAlign w:val="center"/>
          </w:tcPr>
          <w:p>
            <w:pPr>
              <w:pStyle w:val="TableContents"/>
              <w:bidi w:val="0"/>
              <w:spacing w:before="0" w:after="1"/>
              <w:ind w:left="0" w:right="0" w:hanging="0"/>
              <w:jc w:val="right"/>
              <w:rPr/>
            </w:pPr>
            <w:r>
              <w:rPr/>
              <w:t>  </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 </w:t>
            </w:r>
          </w:p>
        </w:tc>
        <w:tc>
          <w:tcPr>
            <w:tcW w:w="814" w:type="dxa"/>
            <w:tcBorders/>
            <w:shd w:fill="CCEEFF" w:val="clear"/>
            <w:vAlign w:val="center"/>
          </w:tcPr>
          <w:p>
            <w:pPr>
              <w:pStyle w:val="TableContents"/>
              <w:bidi w:val="0"/>
              <w:spacing w:before="0" w:after="1"/>
              <w:ind w:left="0" w:right="0" w:hanging="0"/>
              <w:jc w:val="right"/>
              <w:rPr/>
            </w:pPr>
            <w:r>
              <w:rPr/>
              <w:t>  </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 - notes payable</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(1,523)</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 </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(1,757)</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 of promissory notes-affiliates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(3,445)</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 of borrowings from members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 </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payment for reverse merger and recapitalization</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(7,679)</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Series A redeemable convertible preferred stock issuance</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 </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14,400</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Series B convertible stock issuance</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 </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1,500</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 Series A - redeemable convertible preferred stock</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(364)</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 Series B - redeemable convertible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814" w:type="dxa"/>
            <w:tcBorders/>
            <w:shd w:fill="CCEEFF" w:val="clear"/>
            <w:vAlign w:val="center"/>
          </w:tcPr>
          <w:p>
            <w:pPr>
              <w:pStyle w:val="TableContents"/>
              <w:bidi w:val="0"/>
              <w:spacing w:before="0" w:after="1"/>
              <w:ind w:left="0" w:right="0" w:hanging="0"/>
              <w:jc w:val="right"/>
              <w:rPr/>
            </w:pPr>
            <w:r>
              <w:rPr/>
              <w:t>—</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warrants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416</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Distribution of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Provided By Financing Activities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(2,140)</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 </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2,083</w:t>
            </w:r>
          </w:p>
        </w:tc>
      </w:tr>
      <w:tr>
        <w:trPr/>
        <w:tc>
          <w:tcPr>
            <w:tcW w:w="744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814" w:type="dxa"/>
            <w:tcBorders/>
            <w:shd w:fill="CCEEFF" w:val="clear"/>
            <w:vAlign w:val="center"/>
          </w:tcPr>
          <w:p>
            <w:pPr>
              <w:pStyle w:val="TableContents"/>
              <w:bidi w:val="0"/>
              <w:spacing w:before="0" w:after="1"/>
              <w:ind w:left="0" w:right="0" w:hanging="0"/>
              <w:jc w:val="right"/>
              <w:rPr/>
            </w:pPr>
            <w:r>
              <w:rPr/>
              <w:t>​</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Net Change in Cash, Cash Equivalents and Restricted Cash </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 </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w:t>
            </w:r>
          </w:p>
        </w:tc>
      </w:tr>
      <w:tr>
        <w:trPr/>
        <w:tc>
          <w:tcPr>
            <w:tcW w:w="744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 Beginning of Period</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8,486</w:t>
            </w:r>
          </w:p>
        </w:tc>
        <w:tc>
          <w:tcPr>
            <w:tcW w:w="400" w:type="dxa"/>
            <w:tcBorders/>
            <w:vAlign w:val="center"/>
          </w:tcPr>
          <w:p>
            <w:pPr>
              <w:pStyle w:val="TableContents"/>
              <w:bidi w:val="0"/>
              <w:spacing w:before="0" w:after="1"/>
              <w:ind w:left="0" w:right="0" w:hanging="0"/>
              <w:jc w:val="righ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7,621</w:t>
            </w:r>
          </w:p>
        </w:tc>
      </w:tr>
      <w:tr>
        <w:trPr/>
        <w:tc>
          <w:tcPr>
            <w:tcW w:w="744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814" w:type="dxa"/>
            <w:tcBorders/>
            <w:shd w:fill="CCEEFF" w:val="clear"/>
            <w:vAlign w:val="center"/>
          </w:tcPr>
          <w:p>
            <w:pPr>
              <w:pStyle w:val="TableContents"/>
              <w:bidi w:val="0"/>
              <w:spacing w:before="0" w:after="1"/>
              <w:ind w:left="0" w:right="0" w:hanging="0"/>
              <w:jc w:val="right"/>
              <w:rPr/>
            </w:pPr>
            <w:r>
              <w:rPr/>
              <w:t>​</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 End of Period</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8,339</w:t>
            </w:r>
          </w:p>
        </w:tc>
        <w:tc>
          <w:tcPr>
            <w:tcW w:w="400" w:type="dxa"/>
            <w:tcBorders/>
            <w:vAlign w:val="center"/>
          </w:tcPr>
          <w:p>
            <w:pPr>
              <w:pStyle w:val="TableContents"/>
              <w:bidi w:val="0"/>
              <w:spacing w:before="0" w:after="1"/>
              <w:ind w:left="0" w:right="0" w:hanging="0"/>
              <w:jc w:val="righ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7,253</w:t>
            </w:r>
          </w:p>
        </w:tc>
      </w:tr>
      <w:tr>
        <w:trPr/>
        <w:tc>
          <w:tcPr>
            <w:tcW w:w="744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left"/>
              <w:rPr/>
            </w:pPr>
            <w:r>
              <w:rPr/>
              <w:t>​</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Paid During the Period for:</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8" w:type="dxa"/>
            <w:tcBorders/>
            <w:vAlign w:val="center"/>
          </w:tcPr>
          <w:p>
            <w:pPr>
              <w:pStyle w:val="TableContents"/>
              <w:bidi w:val="0"/>
              <w:spacing w:before="0" w:after="1"/>
              <w:ind w:left="0" w:right="0" w:hanging="0"/>
              <w:jc w:val="right"/>
              <w:rPr/>
            </w:pPr>
            <w:r>
              <w:rPr/>
              <w:t>  </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 </w:t>
            </w:r>
          </w:p>
        </w:tc>
        <w:tc>
          <w:tcPr>
            <w:tcW w:w="814" w:type="dxa"/>
            <w:tcBorders/>
            <w:vAlign w:val="center"/>
          </w:tcPr>
          <w:p>
            <w:pPr>
              <w:pStyle w:val="TableContents"/>
              <w:bidi w:val="0"/>
              <w:spacing w:before="0" w:after="1"/>
              <w:ind w:left="0" w:right="0" w:hanging="0"/>
              <w:jc w:val="right"/>
              <w:rPr/>
            </w:pPr>
            <w:r>
              <w:rPr/>
              <w:t>  </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1,611</w:t>
            </w:r>
          </w:p>
        </w:tc>
        <w:tc>
          <w:tcPr>
            <w:tcW w:w="400"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2,632</w:t>
            </w:r>
          </w:p>
        </w:tc>
      </w:tr>
      <w:tr>
        <w:trPr/>
        <w:tc>
          <w:tcPr>
            <w:tcW w:w="74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pPr>
            <w:r>
              <w:rPr/>
              <w:t>​</w:t>
            </w:r>
          </w:p>
        </w:tc>
      </w:tr>
      <w:tr>
        <w:trPr/>
        <w:tc>
          <w:tcPr>
            <w:tcW w:w="744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left"/>
              <w:rPr/>
            </w:pPr>
            <w:r>
              <w:rPr/>
              <w:t>​</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During the period ended September 30, 2024 and in connection with the reverse merger and recapitalization the Company extinguished amounts related to the promissory notes-affiliates in the approximate amount of $3,800.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pPr>
            <w:r>
              <w:rPr/>
              <w:t>​</w:t>
            </w:r>
          </w:p>
        </w:tc>
      </w:tr>
      <w:tr>
        <w:trPr/>
        <w:tc>
          <w:tcPr>
            <w:tcW w:w="744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left"/>
              <w:rPr/>
            </w:pPr>
            <w:r>
              <w:rPr/>
              <w:t>​</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During the period ended September 30, 2024 and in connection with the reverse merger and recapitalization the Company extinguished amounts and issued stock in consideration to satisfy these obligations in the approximate amount of $4,300.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pPr>
            <w:r>
              <w:rPr/>
              <w:t>​</w:t>
            </w:r>
          </w:p>
        </w:tc>
      </w:tr>
      <w:tr>
        <w:trPr/>
        <w:tc>
          <w:tcPr>
            <w:tcW w:w="744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left"/>
              <w:rPr/>
            </w:pPr>
            <w:r>
              <w:rPr/>
              <w:t>​</w:t>
            </w:r>
          </w:p>
        </w:tc>
      </w:tr>
      <w:tr>
        <w:trPr/>
        <w:tc>
          <w:tcPr>
            <w:tcW w:w="744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 the periods ended September 30, 2025 and 2024, the Company paid an in-kind dividend to the Series A Redeemable Convertible Preferred Stock holder in the amount of $536 and $364, respectively.</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center"/>
        <w:rPr/>
      </w:pPr>
      <w:r>
        <w:rPr/>
        <w:t>​</w:t>
      </w:r>
    </w:p>
    <w:p>
      <w:pPr>
        <w:pStyle w:val="TextBody"/>
        <w:bidi w:val="0"/>
        <w:spacing w:before="4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14" w:name="_c832e72f_d21f_43cd_9963_10617c39d7a7"/>
      <w:bookmarkEnd w:id="1214"/>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1215" w:name="NOTESTOUNAUDITEDCONDENSEDCONSOLIDATEDFIN"/>
      <w:bookmarkEnd w:id="1215"/>
      <w:r>
        <w:rPr>
          <w:rFonts w:ascii="Times New Roman;Times;serif" w:hAnsi="Times New Roman;Times;serif"/>
          <w:b/>
          <w:sz w:val="20"/>
        </w:rPr>
        <w:t>NOTES TO UNAUDITED CONDENSED CONSOLIDATED FINANCIAL STATEMENTS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September 30, 2025</w:t>
      </w:r>
    </w:p>
    <w:tbl>
      <w:tblPr>
        <w:tblW w:w="7622" w:type="dxa"/>
        <w:jc w:val="left"/>
        <w:tblInd w:w="0" w:type="dxa"/>
        <w:tblLayout w:type="fixed"/>
        <w:tblCellMar>
          <w:top w:w="0" w:type="dxa"/>
          <w:left w:w="0" w:type="dxa"/>
          <w:bottom w:w="0" w:type="dxa"/>
          <w:right w:w="0" w:type="dxa"/>
        </w:tblCellMar>
      </w:tblPr>
      <w:tblGrid>
        <w:gridCol w:w="271"/>
        <w:gridCol w:w="7351"/>
      </w:tblGrid>
      <w:tr>
        <w:trPr/>
        <w:tc>
          <w:tcPr>
            <w:tcW w:w="271"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1.</w:t>
            </w:r>
          </w:p>
        </w:tc>
        <w:tc>
          <w:tcPr>
            <w:tcW w:w="7351"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ORGANIZATION, DESCRIPTION OF BUSINESS AND BASIS OF PRESENTATION</w:t>
            </w:r>
          </w:p>
        </w:tc>
      </w:tr>
    </w:tbl>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Binah Capital Group, Inc. (“Binah Capital”, “Holdings” or the “Company,” representing the consolidated group), is a Delaware corporation, formed on June 27, 2022 that serves as a holding company for its wholly-owned subsidiaries operating in the retail wealth management business.</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Binah Capital through its wholly-owned subsidiary Wentworth Management Services LLC (dba, Binah Management Services, “BMS”) operates multiple businesses in the financial services industry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Holdings, LLC (“PKSH”) maintains offices in Albany, New York, and branch offices throughout the United States of America, and includes the following entities (collectively, the “PKSH Entities”):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Purshe Kaplan Sterling Investments, Inc. (“PKSI”), incorporated in the State of New York, is a broker-dealer registered with the Securities and Exchange Commission (“SEC”) and is a member of the Financial Industry Regulatory Authority (“FINRA”) and the Securities Investors Protection Corporation (“SIPC”).</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Advisory Services, LLC (“PKSA”), a New York limited liability company, is an investment advisory firm, registered with the SEC, which provides advisory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Financial Services, Inc. (dba, Binah Capital Insurance), incorporated in the State of New York, is an insurance entity providing financial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Indemnity Company, Inc. (“Repco”), incorporated in the British Virgin Islands, holds a general business insurance license for the purpose of providing professional liability insurance coverage for affiliated entities under BMS.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Cabot Lodge Securities LLC maintains offices and branch offices throughout the United States of America and includes the following entities (collectively, the “Cabot Entities”):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Cabot Lodge Securities, LLC (“CLS”), a Delaware Limited Liability Company, is a broker-dealer registered with the SEC and is a member of FINRA and SIPC.</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 Wealth Management, LLC (“CLWM”), a Virginia Limited Liability Company, is an investment advisory firm, registered with the SEC, which provides advisory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Wentworth Financial Partners LLC (dba, Binah Financial Partners), a Delaware Limited Liability Company, is an insurance entity providing financial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 Securities, Inc. (“MSI”) maintains offices in Albany, New York and includes the following entities (collectively, the “MSI Entities”):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MSI, (d/b/a as Broadstone Securities, Inc., “Broadstone”), incorporated in the State of Michigan, is a financial services firm, and is a broker-dealer registered with the SEC and is a member of FINRA.</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 Advisors, Inc., (“MAI”) incorporated in the State of Michigan, was a SEC registered investment advisor. MAI withdrew its registration in September 2021.</w:t>
            </w:r>
          </w:p>
        </w:tc>
      </w:tr>
    </w:tbl>
    <w:tbl>
      <w:tblPr>
        <w:tblW w:w="8601" w:type="dxa"/>
        <w:jc w:val="left"/>
        <w:tblInd w:w="0" w:type="dxa"/>
        <w:tblLayout w:type="fixed"/>
        <w:tblCellMar>
          <w:top w:w="28" w:type="dxa"/>
          <w:left w:w="28" w:type="dxa"/>
          <w:bottom w:w="28" w:type="dxa"/>
          <w:right w:w="28" w:type="dxa"/>
        </w:tblCellMar>
      </w:tblPr>
      <w:tblGrid>
        <w:gridCol w:w="124"/>
        <w:gridCol w:w="22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Audit Agency, Inc. (“IAA”), incorporated in the state of Michigan, is an insurance agency.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Equity Group, Inc. (“WEG”), incorporated in the State of Illinois, is registered as a broker-dealer and investment advisor with the SEC and is a member of FINRA and SIPC. WEG maintains offices in Schaumburg, Illinois and has branch offices throughout the United States of America.</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12" w:type="dxa"/>
        <w:jc w:val="left"/>
        <w:tblInd w:w="0" w:type="dxa"/>
        <w:tblLayout w:type="fixed"/>
        <w:tblCellMar>
          <w:top w:w="0" w:type="dxa"/>
          <w:left w:w="0" w:type="dxa"/>
          <w:bottom w:w="0" w:type="dxa"/>
          <w:right w:w="0" w:type="dxa"/>
        </w:tblCellMar>
      </w:tblPr>
      <w:tblGrid>
        <w:gridCol w:w="271"/>
        <w:gridCol w:w="834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834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ORGANIZATION, DESCRIPTION OF BUSINESS AND BASIS OF PRESENTATION </w:t>
            </w:r>
            <w:r>
              <w:rPr>
                <w:rFonts w:ascii="Times New Roman;Times;serif" w:hAnsi="Times New Roman;Times;serif"/>
                <w:b/>
                <w:i/>
                <w:sz w:val="20"/>
              </w:rPr>
              <w:t>(continued)</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Reverse Recapitalization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15, 2024 (the “Closing Date”), Binah Capital consummated the transactions contemplated by that certain Agreement and Plan of Merger, dated July 7, 2022 (as amended, the “Merger Agreement” and the consummation of such contemplated transactions, the “Closing”), by and among Kingswood Acquisition Corp, a Delaware corporation (“KWAC”), Binah Capital, Kingswood Merger Sub, Inc., a Delaware corporation (“Kingswood Merger Sub”), Wentworth Merger Sub, LLC, a Delaware limited liability company (“Wentworth Merger Sub”), and BMS. Binah Capital, Kingswood Merger Sub and Wentworth Merger Sub were newly formed entities that were formed for the sole purpose of entering into and consummating the transaction set forth in the Merger Agreement. Binah Capital was a wholly-owned direct subsidiary of KWAC and both Kingswood Merger Sub and Wentworth Merger Sub were wholly-owned direct subsidiaries of Binah Capital. On the Closing Date, Kingswood Merger Sub merged with and into KWAC, with KWAC continuing as the surviving entity as a wholly-owned subsidiary of Binah Capital and Wentworth Merger Sub merged with and into BMS, with BMS continuing as the surviving entity as a wholly-owned subsidiary of Binah Capital. Following the Wentworth merger, KWAC acquired, and Binah Capital contributed to KWAC all of the common units of BMS directly held by Binah Capital after the Wentworth merger, such that, following the Binah Capital contribution, BMS became a wholly-owned subsidiary of KWAC.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legal form of the Merger pursuant to the Business Combination Agreement, the Merger was accounted for as a reverse recapitalization. Under this method of accounting, KWAC is expected to be treated as the “acquired” company for financial reporting purposes. Accordingly, for accounting purposes, the consolidated financial statements of Binah Capital will represent a continuation of the consolidated financial statements of BMS with the business combination treated as the equivalent of the BMS issuing shares for the net assets of KWAC, accompanied by a recapitalization. The net assets of KWAC will be stated at historical cost, with no goodwill or other intangible assets recorded. Operations prior to the business combination will be those of BMS in future reports of Holdings (See Note 3 – Mergers and Recapitalization).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Unaudited Interim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unaudited condensed consolidated financial statements (“condensed consolidated financial statements”) are prepared in accordance with accounting principles generally accepted in the United States of America (“GAAP”) and the rules and regulations of the SEC. The unaudited condensed consolidated financial statements have been prepared assuming that the Company will continue as a going concern.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condensed consolidated financial statements should be read in conjunction with the audited consolidated financial statements and accompanying notes for the fiscal year ended December 31, 2024. The unaudited condensed consolidated interim financial statements do not include all the information and footnotes required by GAAP for complete financial statements. The results of operations for the three and nine months ended September 30, 2025, are not necessarily indicative of the results to be expected for the entire year ending December 31, 2025. The accompanying unaudited condensed consolidated interim financial statements reflect all adjustments, consisting of normal recurring adjustments, that are, in the opinion of management, necessary to a fair statement of the results for the interim periods presented.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Holdings and its wholly owned subsidiaries. Significant inter-company transactions and balances have been eliminated in consolidation.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Reportable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has determined that the Company operates in one segment, given the common nature of its operations, products and services, production and distribution process and regulatory environment. For additional information, see Note 18 - </w:t>
      </w:r>
      <w:r>
        <w:rPr>
          <w:rFonts w:ascii="Times New Roman;Times;serif" w:hAnsi="Times New Roman;Times;serif"/>
          <w:i/>
          <w:sz w:val="20"/>
        </w:rPr>
        <w:t>Segment Information</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402" w:type="dxa"/>
        <w:jc w:val="left"/>
        <w:tblInd w:w="0" w:type="dxa"/>
        <w:tblLayout w:type="fixed"/>
        <w:tblCellMar>
          <w:top w:w="0" w:type="dxa"/>
          <w:left w:w="0" w:type="dxa"/>
          <w:bottom w:w="0" w:type="dxa"/>
          <w:right w:w="0" w:type="dxa"/>
        </w:tblCellMar>
      </w:tblPr>
      <w:tblGrid>
        <w:gridCol w:w="271"/>
        <w:gridCol w:w="513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51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 and Assumptions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from those estimates. Significant estimates include the valuation and impairments of intangible assets and deferred income taxes, allowance for credit losses, and contingencies.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Revenues from contracts with customers are recognized when control of the promised services is transferred to customers, in an amount that reflects the consideration the Company expects to be entitled to in exchange for those services. For additional information see Note 4 - </w:t>
      </w:r>
      <w:r>
        <w:rPr>
          <w:rFonts w:ascii="Times New Roman;Times;serif" w:hAnsi="Times New Roman;Times;serif"/>
          <w:i/>
          <w:sz w:val="20"/>
        </w:rPr>
        <w:t>Revenues From Contracts with Customers.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employees, officers and directors participate in the Company’s long-term incentive plan that provide for granting stock options, restricted stock awards, and restricted stock units. Stock options and restricted stock units generally vest in equal increments over a three-year period and expire on the tenth anniversary following the date of grant. Restricted stock awards generally vest upon grant or up to a three-year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share-based compensation for equity awards granted to employees, officers and directors as compensation and benefits expense on the consolidated statements of operations. The fair value of restricted stock awards and restricted stock units is equal to the closing price of the Company’s stock on the date of grant. Stock options are generally granted at the market price at the date of the grant, with vesting based on three years of continuous service. The fair value of the options is estimated using the Black-Sholes model. Share-based compensation is recognized over the requisite service period of the individual awards, which generally equals the vesting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makes assumptions regarding the number of restricted stock awards and restricted stock units that will be forfeited. The forfeiture assumption is ultimately adjusted to the actual forfeiture rate. As a result, changes in the forfeiture assumptions do not impact the total amount of expense ultimately recognized over the service period. Rather, different forfeiture assumptions would only impact the timing of expense recognition over the service period. See Note 10 - </w:t>
      </w:r>
      <w:r>
        <w:rPr>
          <w:rFonts w:ascii="Times New Roman;Times;serif" w:hAnsi="Times New Roman;Times;serif"/>
          <w:i/>
          <w:sz w:val="20"/>
        </w:rPr>
        <w:t>Share-Based Compensation</w:t>
      </w:r>
      <w:r>
        <w:rPr>
          <w:rFonts w:ascii="Times New Roman;Times;serif" w:hAnsi="Times New Roman;Times;serif"/>
          <w:sz w:val="20"/>
        </w:rPr>
        <w:t xml:space="preserve"> for additional information regarding share-based compensation for equity awards granted.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Cash Equivalents and Restricted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consist primarily of cash on deposit and money market funds, all of which have original maturities of three months or less.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Restricted cash represents cash held by the Company’s lender related to its credit facility. As of September 30, 2025 and December 31, 2024, restricted cash amounted to $1.0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regularly maintains cash, cash equivalents and restricted cash that exceed Federal Deposit Insurance Corporation limits. The Company has not experienced any losses and does not believe it is exposed to any significant credit risk from cash.</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Receivables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Receivables represent amounts due to the Company from its clearing brokers, clients, financial institutions and others. Receivables consists of unconditional amounts due and are reported at amortized costs. All receivables are uncollateralized.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527" w:type="dxa"/>
        <w:jc w:val="left"/>
        <w:tblInd w:w="0" w:type="dxa"/>
        <w:tblLayout w:type="fixed"/>
        <w:tblCellMar>
          <w:top w:w="0" w:type="dxa"/>
          <w:left w:w="0" w:type="dxa"/>
          <w:bottom w:w="0" w:type="dxa"/>
          <w:right w:w="0" w:type="dxa"/>
        </w:tblCellMar>
      </w:tblPr>
      <w:tblGrid>
        <w:gridCol w:w="271"/>
        <w:gridCol w:w="625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62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SUMMARY OF SIGNIFICANT ACCOUNTING POLICIES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Financial Instruments – Credit Losses</w:t>
      </w:r>
      <w:r>
        <w:rPr>
          <w:rFonts w:ascii="Times New Roman;Times;serif" w:hAnsi="Times New Roman;Times;serif"/>
          <w:i/>
          <w:sz w:val="20"/>
        </w:rPr>
        <w:t>.</w:t>
      </w:r>
      <w:r>
        <w:rPr>
          <w:rFonts w:ascii="Times New Roman;Times;serif" w:hAnsi="Times New Roman;Times;serif"/>
          <w:sz w:val="20"/>
        </w:rPr>
        <w:t xml:space="preserve"> The Company accounts for estimated credit losses on financial assets measured at an amortized cost basis and certain off-balance sheet credit exposures in accordance with Financial Accounting Standards Board (“FASB”) Accounting Standards Codification (“ASC”) 326-20, </w:t>
      </w:r>
      <w:r>
        <w:rPr>
          <w:rFonts w:ascii="Times New Roman;Times;serif" w:hAnsi="Times New Roman;Times;serif"/>
          <w:i/>
          <w:sz w:val="20"/>
        </w:rPr>
        <w:t>Financial Instruments-Credit Losses</w:t>
      </w:r>
      <w:r>
        <w:rPr>
          <w:rFonts w:ascii="Times New Roman;Times;serif" w:hAnsi="Times New Roman;Times;serif"/>
          <w:sz w:val="20"/>
        </w:rPr>
        <w:t>. FASB ASC 326-20 requires the Company to estimate expected credit losses over the life of its financial assets and certain off-balance sheet exposures as of the reporting date based on relevant information about past events, current conditions, and reasonable and supportable forecasts. The Company records the estimate of expected credit losses as an allowance for credit losses. For financial assets measured at an amortized cost basis the allowance for credit losses is reported as a valuation account on the statement of financial condition that adjusts the asset’s amortized cost basis. Changes in the allowance for credit losses are reported in credit loss expense, if applicable. Management believes its risk of loss on currently recorded receivables is minimal and accordingly an allowance for credit losses has been recorded as of September 30, 2025, and December 31, 2024, and January 1, 2024 in the amount of $0.7 million, $0.7 million and $0.2 million,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Goodwill and Other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Goodwill is tested annually for impairment or if certain events occur indicating that the carrying amounts may be impaired. If a qualitative assessment is used and the Company determines that the fair value of a reporting unit is more likely than not (i.e., a likelihood of more than 50%) less than its carrying amount, a quantitative impairment test will be performed. An impairment loss will be recognized if a reporting unit’s carrying amount exceeds its fair value, to the extent that it does not exceed the total carrying amount of goodwill. No impairment of goodwill was recognized for the periods ended September 30,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impairment of intangible assets recognized for the periods ended September 30, 2025 and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 taxes are accounted for under an asset and liability approach. This process involves calculating the temporary and permanent differences between the carrying amounts of the assets and liabilities for financial reporting purposes and the amounts used for income tax purposes. The temporary differences result in deferred tax assets and liabilities, which are recorded on the consolidated balance sheet in accordance with FASB ASC 740, Income Taxes (“ASC 740”), which established financial accounting and reporting standards for the effects of income taxes. The likelihood that deferred tax assets will be recovered from future taxable income must be assessed and, to the extent that recovery is not likely, a valuation allowance is established. Changes in the valuation allowance in a period are recorded through the income tax provision in the condensed consolidated statements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740-10 clarifies the accounting for uncertainty in income taxes recognized in an entity’s financial statements and prescribes a recognition threshold and measurement attributes for financial statement disclosure of tax positions taken or expected to be taken on an income tax return. Under ASC 740-10, the impact of an uncertain tax position on the income tax return must be recognized at the largest amount that is more-likely-than-not to be sustained upon audit by the relevant taxing authority. An uncertain tax position will not be recognized if it has less than a 50% likelihood of being sustained. Additionally, ASC 740-10 provides guidance on derecognition, classification, interest and penalties, accounting in interim periods, disclosure, and transition.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periods prior to the Reverse Merger and Recapitalization, BMS was treated as a partnership for income tax purposes and therefore not subject to federal taxes. BMS was subject to certain state and local income taxes. Additionally, Binah Capital Corp. (fka, Kingswood Acquisition Corp.) was treated as a corporation and subject to U.S. federal income taxes, in addition to state and local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Subsequent to the Reverse Merger and Recapitalization, Binah Capital Corp., a wholly-owned subsidiary of Holdings, is the parent company of BMS. Subsequent to the Reverse Merger and Recapitalization, BMS elected to be treated as a corporation and is subject to U.S. federal income taxes, in addition to state and local income taxes.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532" w:type="dxa"/>
        <w:jc w:val="left"/>
        <w:tblInd w:w="0" w:type="dxa"/>
        <w:tblLayout w:type="fixed"/>
        <w:tblCellMar>
          <w:top w:w="0" w:type="dxa"/>
          <w:left w:w="0" w:type="dxa"/>
          <w:bottom w:w="0" w:type="dxa"/>
          <w:right w:w="0" w:type="dxa"/>
        </w:tblCellMar>
      </w:tblPr>
      <w:tblGrid>
        <w:gridCol w:w="301"/>
        <w:gridCol w:w="7231"/>
      </w:tblGrid>
      <w:tr>
        <w:trPr/>
        <w:tc>
          <w:tcPr>
            <w:tcW w:w="301"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2.</w:t>
            </w:r>
          </w:p>
        </w:tc>
        <w:tc>
          <w:tcPr>
            <w:tcW w:w="72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2"/>
              </w:rPr>
              <w:t xml:space="preserve">SUMMARY OF SIGNIFICANT ACCOUNTING POLICIES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Binah Capital Group, Inc., Binah Capital Corp., BMS, the PKSH Entities, Cabot Entities and WEG are taxable entities subject to federal, state, and local income taxes. Therefore, these condensed consolidated financial statements include an income tax provision for the taxable entities only. Deferred tax assets and liabilities are recognized for the future tax consequences attributable to differences between the financial statement carrying amount of existing assets and liabilities and their respective tax bases and net operating loss carryforwards.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tax assets and liabilities are measured using enacted tax rates expected to apply to taxable income in the years in which those temporary differences are expected to be recovered or settled. The Company periodically evaluates deferred tax assets and net operating loss carryforwards to determine their recoverability based primarily on the Company’s ability to generate future taxable income. A valuation allowance may be established to reduce deferred tax assets, if it is more likely than not that all, or some portion, of such deferred tax assets will not be realized.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taxes in accordance with the asset and liability method of accounting for income taxes. Under this method, the Company must recognize the tax benefit from an uncertain tax position only if it is “more likely than not” that the tax position will be sustained on examination by the taxing authorities, based on the technical merits of the position. The tax benefits recognized in the condensed consolidated financial statements from such a position are measured based on the largest benefit that has a greater than 50% likelihood of being realized upon ultimate resolution.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Net Income (Loss) Per Share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earnings per share of common stock is computed by dividing net income attributable to the Company by the weighted-average number of shares of Class A common stock outstanding during the same period. Diluted net income per share of common stock is computed by dividing net income attributable to the Company by the weighted-average number of shares of common stock outstanding adjusted to give effect to potentially dilutive securities. Potential shares of common stock consist of incremental shares issuable upon the assumed exercise of stock options and warrants and conversion of the Company’s preferred stock.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uses derivative instruments to manage its exposures to fluctuations in interest rates. Specifically, the Company entered into an interest rate swap agreement to convert a portion of its variable-rate debt into a fixed-rate obligation, thereby mitigating the risk of increasing interest payments. The valuation of this instrument is determined using widely accepted valuation techniques, including discounted cash flow analysis in the expected cash flows of each interest rate swap. This analysis reflects the contractual terms of the interest rate swap, including the period to maturity, and uses observable market-based inputs, including interest rate curves. The fair value estimate is classified as Level 2 (see Note 5 - Fair Value). The Company accounts for its interest rate swap under the authoritative guidance for derivative instruments and hedging activities. Although this derivative is an interest rate hedge, the Company does not account for the derivative as a cash-flow hedge instrument. Therefore, the guidance requires derivatives to be recognized as assets or liabilities measured at fair value. Changes in fair value of derivatives are recognized in the condensed consolidated statements of comprehensive income (loss) in the period of change. The Company does not hold or issue financial instruments for speculative or trading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Reverse Recapitalization, the Company had issued and has outstanding warrants. The Company evaluates the warrants, to determine if such instruments should be considered stock-based compensation, pursuant to ASC Topic 718, and if not in the scope of ASC 718, if such instruments are derivatives or contain features that qualify as embedded derivatives, pursuant to ASC Topic 480 and ASC Topic 815. The determination of whether the instrument should be classified as stock-based compensation or a derivative instrument, including whether such instruments should be recorded as liabilities or as equity, is re-assessed at the end of each reporting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Warrants issued to non-employees (the “Non-employee Warrants”) are not classified as stock-based compensation as there is no condition of employment such that the granting of the shares does not represent compensation. The Non-employee Warrants are classified as derivative liabilities under ASC Topic 480 or ASC Topic 815. Warrants issued to non-employees are measured at fair value on a recurring basis, using the market approach based upon the quoted market price of Binah Capital Group, Inc.’s warrants at the end of each reporting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532" w:type="dxa"/>
        <w:jc w:val="left"/>
        <w:tblInd w:w="0" w:type="dxa"/>
        <w:tblLayout w:type="fixed"/>
        <w:tblCellMar>
          <w:top w:w="0" w:type="dxa"/>
          <w:left w:w="0" w:type="dxa"/>
          <w:bottom w:w="0" w:type="dxa"/>
          <w:right w:w="0" w:type="dxa"/>
        </w:tblCellMar>
      </w:tblPr>
      <w:tblGrid>
        <w:gridCol w:w="301"/>
        <w:gridCol w:w="7231"/>
      </w:tblGrid>
      <w:tr>
        <w:trPr/>
        <w:tc>
          <w:tcPr>
            <w:tcW w:w="301"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2.</w:t>
            </w:r>
          </w:p>
        </w:tc>
        <w:tc>
          <w:tcPr>
            <w:tcW w:w="72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2"/>
              </w:rPr>
              <w:t xml:space="preserve">SUMMARY OF SIGNIFICANT ACCOUNTING POLICIES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Contingent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determination of these liability amounts requires significant judgment on the part of management. See Note 14 -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of 1933, as modified by the Jumpstart Our Business Startups Act of 2012, and it thus may take advantage of certain exemptions from various reporting requirements that are applicable to other public companies that are not emerging growth companies.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or Adopted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2024, Financial Accounting Standards Board (“FASB”) issued Accounting Standards Update (“ASU”) 2024-03, </w:t>
      </w:r>
      <w:r>
        <w:rPr>
          <w:rFonts w:ascii="Times New Roman;Times;serif" w:hAnsi="Times New Roman;Times;serif"/>
          <w:i/>
          <w:sz w:val="20"/>
        </w:rPr>
        <w:t>Income Statement—Reporting Comprehensive Income—Expense Disaggregation Disclosures (Subtopic 220-40)</w:t>
      </w:r>
      <w:r>
        <w:rPr>
          <w:rFonts w:ascii="Times New Roman;Times;serif" w:hAnsi="Times New Roman;Times;serif"/>
          <w:sz w:val="20"/>
        </w:rPr>
        <w:t xml:space="preserve">: </w:t>
      </w:r>
      <w:r>
        <w:rPr>
          <w:rFonts w:ascii="Times New Roman;Times;serif" w:hAnsi="Times New Roman;Times;serif"/>
          <w:i/>
          <w:sz w:val="20"/>
        </w:rPr>
        <w:t>Disaggregation of Income Statement Expenses</w:t>
      </w:r>
      <w:r>
        <w:rPr>
          <w:rFonts w:ascii="Times New Roman;Times;serif" w:hAnsi="Times New Roman;Times;serif"/>
          <w:sz w:val="20"/>
        </w:rPr>
        <w:t>, which requires public business entities to disclose, in interim and annual reporting periods, additional information about certain expenses in the notes to financial statements. The ASU should be applied prospectively and is effective for fiscal years beginning after December 15, 2026, and interim periods within fiscal years beginning after December 15, 2027, with early adoption permitted. The Company is currently evaluating the impact on the related disclosures; however, it does not expect this update to have an impact on its financial condition or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2023-09, </w:t>
      </w:r>
      <w:r>
        <w:rPr>
          <w:rFonts w:ascii="Times New Roman;Times;serif" w:hAnsi="Times New Roman;Times;serif"/>
          <w:i/>
          <w:sz w:val="20"/>
        </w:rPr>
        <w:t xml:space="preserve">Income Taxes (Topic 740): Improvements to Income Tax Disclosures </w:t>
      </w:r>
      <w:r>
        <w:rPr>
          <w:rFonts w:ascii="Times New Roman;Times;serif" w:hAnsi="Times New Roman;Times;serif"/>
          <w:sz w:val="20"/>
        </w:rPr>
        <w:t>to enhance the transparency of income tax disclosures relating to the rate reconciliation, disclosure of income taxes paid, and certain other disclosures. The ASU should be applied prospectively and is effective for annual periods beginning after December 15, 2024, with early adoption permitted. The Company is currently evaluating the impact on the related disclosures; however, it does not expect this update to have an impact on its financial condition or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2023, the FASB issued ASU 2023 - 07,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xml:space="preserve"> to improve the disclosures about reportable segments and include more detailed information about a reportable segment’s expenses. This ASU also requires that a public entity with a single reportable segment, like the Company, provide all of the disclosures required as part of the amendments and all existing disclosures required by Topic 280. The ASU should be applied retrospectively to all prior periods presented in the consolidated financial statements and is effective for fiscal years beginning after December 15, 2023 and interim periods within fiscal years beginning after December 15, 2024. The adoption during the year ending 2024 did not have an impact on the Company’s financial condition or results of operations. See Note 18 - </w:t>
      </w:r>
      <w:r>
        <w:rPr>
          <w:rFonts w:ascii="Times New Roman;Times;serif" w:hAnsi="Times New Roman;Times;serif"/>
          <w:i/>
          <w:sz w:val="20"/>
        </w:rPr>
        <w:t xml:space="preserve">Segment Information </w:t>
      </w:r>
      <w:r>
        <w:rPr>
          <w:rFonts w:ascii="Times New Roman;Times;serif" w:hAnsi="Times New Roman;Times;serif"/>
          <w:sz w:val="20"/>
        </w:rPr>
        <w:t>for related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4, 2025, the One Big Beautiful Bill Act (the “Act”) was enacted into law. The Act makes permanent certain elements of the Tax Cuts and Jobs Acct, including accelerated tax deductions for qualified property and research expenditures, and the business interest expense limitation. We are currently assessing the Act’s impact on our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767" w:type="dxa"/>
        <w:jc w:val="left"/>
        <w:tblInd w:w="0" w:type="dxa"/>
        <w:tblLayout w:type="fixed"/>
        <w:tblCellMar>
          <w:top w:w="0" w:type="dxa"/>
          <w:left w:w="0" w:type="dxa"/>
          <w:bottom w:w="0" w:type="dxa"/>
          <w:right w:w="0" w:type="dxa"/>
        </w:tblCellMar>
      </w:tblPr>
      <w:tblGrid>
        <w:gridCol w:w="271"/>
        <w:gridCol w:w="349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349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MERGER AND RECAPITALIZATION</w:t>
            </w:r>
          </w:p>
        </w:tc>
      </w:tr>
    </w:tbl>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0"/>
        </w:rPr>
        <w:t>Upon the consummation of the Business Combination, (i) the holders of shares of KWAC’s common stock (“</w:t>
      </w:r>
      <w:r>
        <w:rPr>
          <w:rFonts w:ascii="Times New Roman;Times;serif" w:hAnsi="Times New Roman;Times;serif"/>
          <w:b/>
          <w:i/>
          <w:sz w:val="20"/>
        </w:rPr>
        <w:t>KWAC Common Stock</w:t>
      </w:r>
      <w:r>
        <w:rPr>
          <w:rFonts w:ascii="Times New Roman;Times;serif" w:hAnsi="Times New Roman;Times;serif"/>
          <w:sz w:val="22"/>
        </w:rPr>
        <w:t>”</w:t>
      </w:r>
      <w:r>
        <w:rPr>
          <w:rFonts w:ascii="Times New Roman;Times;serif" w:hAnsi="Times New Roman;Times;serif"/>
          <w:sz w:val="20"/>
        </w:rPr>
        <w:t>) issued and outstanding immediately prior to the effective time of the Business Combination (other than any redeemed shares) receive</w:t>
      </w:r>
      <w:r>
        <w:rPr>
          <w:rFonts w:ascii="Times New Roman;Times;serif" w:hAnsi="Times New Roman;Times;serif"/>
          <w:sz w:val="22"/>
        </w:rPr>
        <w:t xml:space="preserve">d </w:t>
      </w:r>
      <w:r>
        <w:rPr>
          <w:rFonts w:ascii="Times New Roman;Times;serif" w:hAnsi="Times New Roman;Times;serif"/>
          <w:sz w:val="20"/>
        </w:rPr>
        <w:t>one</w:t>
      </w:r>
      <w:r>
        <w:rPr>
          <w:rFonts w:ascii="Times New Roman;Times;serif" w:hAnsi="Times New Roman;Times;serif"/>
          <w:sz w:val="22"/>
        </w:rPr>
        <w:t xml:space="preserve"> </w:t>
      </w:r>
      <w:r>
        <w:rPr>
          <w:rFonts w:ascii="Times New Roman;Times;serif" w:hAnsi="Times New Roman;Times;serif"/>
          <w:sz w:val="20"/>
        </w:rPr>
        <w:t>share of common stock of Holdings (“</w:t>
      </w:r>
      <w:r>
        <w:rPr>
          <w:rFonts w:ascii="Times New Roman;Times;serif" w:hAnsi="Times New Roman;Times;serif"/>
          <w:b/>
          <w:i/>
          <w:sz w:val="20"/>
        </w:rPr>
        <w:t>Holdings Common Stock</w:t>
      </w:r>
      <w:r>
        <w:rPr>
          <w:rFonts w:ascii="Times New Roman;Times;serif" w:hAnsi="Times New Roman;Times;serif"/>
          <w:sz w:val="22"/>
        </w:rPr>
        <w:t>”</w:t>
      </w:r>
      <w:r>
        <w:rPr>
          <w:rFonts w:ascii="Times New Roman;Times;serif" w:hAnsi="Times New Roman;Times;serif"/>
          <w:sz w:val="20"/>
        </w:rPr>
        <w:t>) in exchange for each share of KWAC Common Stock held by them, subject to adjustment as more fully described herein, (ii) 1,100,000</w:t>
      </w:r>
      <w:r>
        <w:rPr>
          <w:rFonts w:ascii="Times New Roman;Times;serif" w:hAnsi="Times New Roman;Times;serif"/>
          <w:sz w:val="22"/>
        </w:rPr>
        <w:t xml:space="preserve"> </w:t>
      </w:r>
      <w:r>
        <w:rPr>
          <w:rFonts w:ascii="Times New Roman;Times;serif" w:hAnsi="Times New Roman;Times;serif"/>
          <w:sz w:val="20"/>
        </w:rPr>
        <w:t xml:space="preserve">shares of Holdings Common Stock issued to Sponsor </w:t>
      </w:r>
      <w:r>
        <w:rPr>
          <w:rFonts w:ascii="Times New Roman;Times;serif" w:hAnsi="Times New Roman;Times;serif"/>
          <w:sz w:val="22"/>
        </w:rPr>
        <w:t xml:space="preserve">was </w:t>
      </w:r>
      <w:r>
        <w:rPr>
          <w:rFonts w:ascii="Times New Roman;Times;serif" w:hAnsi="Times New Roman;Times;serif"/>
          <w:sz w:val="20"/>
        </w:rPr>
        <w:t xml:space="preserve">placed by Holdings into an escrow account and </w:t>
      </w:r>
      <w:r>
        <w:rPr>
          <w:rFonts w:ascii="Times New Roman;Times;serif" w:hAnsi="Times New Roman;Times;serif"/>
          <w:sz w:val="22"/>
        </w:rPr>
        <w:t xml:space="preserve">will </w:t>
      </w:r>
      <w:r>
        <w:rPr>
          <w:rFonts w:ascii="Times New Roman;Times;serif" w:hAnsi="Times New Roman;Times;serif"/>
          <w:sz w:val="20"/>
        </w:rPr>
        <w:t xml:space="preserve">not </w:t>
      </w:r>
      <w:r>
        <w:rPr>
          <w:rFonts w:ascii="Times New Roman;Times;serif" w:hAnsi="Times New Roman;Times;serif"/>
          <w:sz w:val="22"/>
        </w:rPr>
        <w:t xml:space="preserve">be </w:t>
      </w:r>
      <w:r>
        <w:rPr>
          <w:rFonts w:ascii="Times New Roman;Times;serif" w:hAnsi="Times New Roman;Times;serif"/>
          <w:sz w:val="20"/>
        </w:rPr>
        <w:t xml:space="preserve">released to </w:t>
      </w:r>
      <w:r>
        <w:rPr>
          <w:rFonts w:ascii="Times New Roman;Times;serif" w:hAnsi="Times New Roman;Times;serif"/>
          <w:sz w:val="22"/>
        </w:rPr>
        <w:t xml:space="preserve">the </w:t>
      </w:r>
      <w:r>
        <w:rPr>
          <w:rFonts w:ascii="Times New Roman;Times;serif" w:hAnsi="Times New Roman;Times;serif"/>
          <w:sz w:val="20"/>
        </w:rPr>
        <w:t>Sponsor unless the dollar volume-weighted average price of Holdings Common Stock exceeds $12.00</w:t>
      </w:r>
      <w:r>
        <w:rPr>
          <w:rFonts w:ascii="Times New Roman;Times;serif" w:hAnsi="Times New Roman;Times;serif"/>
          <w:sz w:val="22"/>
        </w:rPr>
        <w:t xml:space="preserve"> </w:t>
      </w:r>
      <w:r>
        <w:rPr>
          <w:rFonts w:ascii="Times New Roman;Times;serif" w:hAnsi="Times New Roman;Times;serif"/>
          <w:sz w:val="20"/>
        </w:rPr>
        <w:t>for 20</w:t>
      </w:r>
      <w:r>
        <w:rPr>
          <w:rFonts w:ascii="Times New Roman;Times;serif" w:hAnsi="Times New Roman;Times;serif"/>
          <w:sz w:val="22"/>
        </w:rPr>
        <w:t xml:space="preserve"> </w:t>
      </w:r>
      <w:r>
        <w:rPr>
          <w:rFonts w:ascii="Times New Roman;Times;serif" w:hAnsi="Times New Roman;Times;serif"/>
          <w:sz w:val="20"/>
        </w:rPr>
        <w:t>trading days within any 30-day trading period during the four-year</w:t>
      </w:r>
      <w:r>
        <w:rPr>
          <w:rFonts w:ascii="Times New Roman;Times;serif" w:hAnsi="Times New Roman;Times;serif"/>
          <w:sz w:val="22"/>
        </w:rPr>
        <w:t xml:space="preserve"> </w:t>
      </w:r>
      <w:r>
        <w:rPr>
          <w:rFonts w:ascii="Times New Roman;Times;serif" w:hAnsi="Times New Roman;Times;serif"/>
          <w:sz w:val="20"/>
        </w:rPr>
        <w:t>period following the consummation of the Business Combination, (iii) the holders of each whole warrant to purchase KWAC Class A Common Stock receive</w:t>
      </w:r>
      <w:r>
        <w:rPr>
          <w:rFonts w:ascii="Times New Roman;Times;serif" w:hAnsi="Times New Roman;Times;serif"/>
          <w:sz w:val="22"/>
        </w:rPr>
        <w:t xml:space="preserve">d </w:t>
      </w:r>
      <w:r>
        <w:rPr>
          <w:rFonts w:ascii="Times New Roman;Times;serif" w:hAnsi="Times New Roman;Times;serif"/>
          <w:sz w:val="20"/>
        </w:rPr>
        <w:t>one</w:t>
      </w:r>
      <w:r>
        <w:rPr>
          <w:rFonts w:ascii="Times New Roman;Times;serif" w:hAnsi="Times New Roman;Times;serif"/>
          <w:sz w:val="22"/>
        </w:rPr>
        <w:t xml:space="preserve"> </w:t>
      </w:r>
      <w:r>
        <w:rPr>
          <w:rFonts w:ascii="Times New Roman;Times;serif" w:hAnsi="Times New Roman;Times;serif"/>
          <w:sz w:val="20"/>
        </w:rPr>
        <w:t>warrant to purchase Holdings Common Stock at an exercise price of $11.50</w:t>
      </w:r>
      <w:r>
        <w:rPr>
          <w:rFonts w:ascii="Times New Roman;Times;serif" w:hAnsi="Times New Roman;Times;serif"/>
          <w:sz w:val="22"/>
        </w:rPr>
        <w:t xml:space="preserve"> </w:t>
      </w:r>
      <w:r>
        <w:rPr>
          <w:rFonts w:ascii="Times New Roman;Times;serif" w:hAnsi="Times New Roman;Times;serif"/>
          <w:sz w:val="20"/>
        </w:rPr>
        <w:t>per share, (iv) 12</w:t>
      </w:r>
      <w:r>
        <w:rPr>
          <w:rFonts w:ascii="Times New Roman;Times;serif" w:hAnsi="Times New Roman;Times;serif"/>
          <w:sz w:val="22"/>
        </w:rPr>
        <w:t xml:space="preserve"> </w:t>
      </w:r>
      <w:r>
        <w:rPr>
          <w:rFonts w:ascii="Times New Roman;Times;serif" w:hAnsi="Times New Roman;Times;serif"/>
          <w:sz w:val="20"/>
        </w:rPr>
        <w:t xml:space="preserve">million shares of Holdings Common Stock, subject to adjustment as more fully described herein, </w:t>
      </w:r>
      <w:r>
        <w:rPr>
          <w:rFonts w:ascii="Times New Roman;Times;serif" w:hAnsi="Times New Roman;Times;serif"/>
          <w:sz w:val="22"/>
        </w:rPr>
        <w:t xml:space="preserve">was </w:t>
      </w:r>
      <w:r>
        <w:rPr>
          <w:rFonts w:ascii="Times New Roman;Times;serif" w:hAnsi="Times New Roman;Times;serif"/>
          <w:sz w:val="20"/>
        </w:rPr>
        <w:t>issued to the equity holders of Wentworth in proportion to their ownership interests in Wentworth, (v) an additional 1,100,000</w:t>
      </w:r>
      <w:r>
        <w:rPr>
          <w:rFonts w:ascii="Times New Roman;Times;serif" w:hAnsi="Times New Roman;Times;serif"/>
          <w:sz w:val="22"/>
        </w:rPr>
        <w:t xml:space="preserve"> </w:t>
      </w:r>
      <w:r>
        <w:rPr>
          <w:rFonts w:ascii="Times New Roman;Times;serif" w:hAnsi="Times New Roman;Times;serif"/>
          <w:sz w:val="20"/>
        </w:rPr>
        <w:t xml:space="preserve">shares of Holdings Common Stock </w:t>
      </w:r>
      <w:r>
        <w:rPr>
          <w:rFonts w:ascii="Times New Roman;Times;serif" w:hAnsi="Times New Roman;Times;serif"/>
          <w:sz w:val="22"/>
        </w:rPr>
        <w:t xml:space="preserve">was </w:t>
      </w:r>
      <w:r>
        <w:rPr>
          <w:rFonts w:ascii="Times New Roman;Times;serif" w:hAnsi="Times New Roman;Times;serif"/>
          <w:sz w:val="20"/>
        </w:rPr>
        <w:t>issued to certain equity holders of BMS, (vi) 3,084,450</w:t>
      </w:r>
      <w:r>
        <w:rPr>
          <w:rFonts w:ascii="Times New Roman;Times;serif" w:hAnsi="Times New Roman;Times;serif"/>
          <w:sz w:val="22"/>
        </w:rPr>
        <w:t xml:space="preserve"> </w:t>
      </w:r>
      <w:r>
        <w:rPr>
          <w:rFonts w:ascii="Times New Roman;Times;serif" w:hAnsi="Times New Roman;Times;serif"/>
          <w:sz w:val="20"/>
        </w:rPr>
        <w:t xml:space="preserve">KWAC Private Placement Warrants held by Sponsor </w:t>
      </w:r>
      <w:r>
        <w:rPr>
          <w:rFonts w:ascii="Times New Roman;Times;serif" w:hAnsi="Times New Roman;Times;serif"/>
          <w:sz w:val="22"/>
        </w:rPr>
        <w:t xml:space="preserve">were </w:t>
      </w:r>
      <w:r>
        <w:rPr>
          <w:rFonts w:ascii="Times New Roman;Times;serif" w:hAnsi="Times New Roman;Times;serif"/>
          <w:sz w:val="20"/>
        </w:rPr>
        <w:t>forfeited immediately prior to the effective time of the Business Combination, and (vii) 3,084,450</w:t>
      </w:r>
      <w:r>
        <w:rPr>
          <w:rFonts w:ascii="Times New Roman;Times;serif" w:hAnsi="Times New Roman;Times;serif"/>
          <w:sz w:val="22"/>
        </w:rPr>
        <w:t xml:space="preserve"> </w:t>
      </w:r>
      <w:r>
        <w:rPr>
          <w:rFonts w:ascii="Times New Roman;Times;serif" w:hAnsi="Times New Roman;Times;serif"/>
          <w:sz w:val="20"/>
        </w:rPr>
        <w:t>warrants to purchase Holding Common Stock at an exercise price of $11.50</w:t>
      </w:r>
      <w:r>
        <w:rPr>
          <w:rFonts w:ascii="Times New Roman;Times;serif" w:hAnsi="Times New Roman;Times;serif"/>
          <w:sz w:val="22"/>
        </w:rPr>
        <w:t xml:space="preserve"> </w:t>
      </w:r>
      <w:r>
        <w:rPr>
          <w:rFonts w:ascii="Times New Roman;Times;serif" w:hAnsi="Times New Roman;Times;serif"/>
          <w:sz w:val="20"/>
        </w:rPr>
        <w:t xml:space="preserve">per share </w:t>
      </w:r>
      <w:r>
        <w:rPr>
          <w:rFonts w:ascii="Times New Roman;Times;serif" w:hAnsi="Times New Roman;Times;serif"/>
          <w:sz w:val="22"/>
        </w:rPr>
        <w:t xml:space="preserve">were </w:t>
      </w:r>
      <w:r>
        <w:rPr>
          <w:rFonts w:ascii="Times New Roman;Times;serif" w:hAnsi="Times New Roman;Times;serif"/>
          <w:sz w:val="20"/>
        </w:rPr>
        <w:t>issued to the equity holders of BMS in proportion to their ownership interests in BMS. As a result of the Business Combination, BMS bec</w:t>
      </w:r>
      <w:r>
        <w:rPr>
          <w:rFonts w:ascii="Times New Roman;Times;serif" w:hAnsi="Times New Roman;Times;serif"/>
          <w:sz w:val="22"/>
        </w:rPr>
        <w:t>a</w:t>
      </w:r>
      <w:r>
        <w:rPr>
          <w:rFonts w:ascii="Times New Roman;Times;serif" w:hAnsi="Times New Roman;Times;serif"/>
          <w:sz w:val="20"/>
        </w:rPr>
        <w:t>me an indirect, wholly-owned subsidiary of Holdings.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Additionally, </w:t>
      </w:r>
      <w:r>
        <w:rPr>
          <w:rFonts w:ascii="Times New Roman;Times;serif" w:hAnsi="Times New Roman;Times;serif"/>
          <w:sz w:val="22"/>
        </w:rPr>
        <w:t xml:space="preserve">on the Closing Date, Holdings entered into a Subscription Agreement with an investor for the </w:t>
      </w:r>
      <w:r>
        <w:rPr>
          <w:rFonts w:ascii="Times New Roman;Times;serif" w:hAnsi="Times New Roman;Times;serif"/>
          <w:sz w:val="20"/>
        </w:rPr>
        <w:t xml:space="preserve">purchase </w:t>
      </w:r>
      <w:r>
        <w:rPr>
          <w:rFonts w:ascii="Times New Roman;Times;serif" w:hAnsi="Times New Roman;Times;serif"/>
          <w:sz w:val="22"/>
        </w:rPr>
        <w:t>of</w:t>
      </w:r>
      <w:r>
        <w:rPr>
          <w:rFonts w:ascii="Times New Roman;Times;serif" w:hAnsi="Times New Roman;Times;serif"/>
          <w:sz w:val="20"/>
        </w:rPr>
        <w:t xml:space="preserve"> 1,500,000 shares of Holdings’ Series A </w:t>
      </w:r>
      <w:r>
        <w:rPr>
          <w:rFonts w:ascii="Times New Roman;Times;serif" w:hAnsi="Times New Roman;Times;serif"/>
          <w:sz w:val="22"/>
        </w:rPr>
        <w:t xml:space="preserve">Redeemable </w:t>
      </w:r>
      <w:r>
        <w:rPr>
          <w:rFonts w:ascii="Times New Roman;Times;serif" w:hAnsi="Times New Roman;Times;serif"/>
          <w:sz w:val="20"/>
        </w:rPr>
        <w:t>Convertible Preferred Stock (the “</w:t>
      </w:r>
      <w:r>
        <w:rPr>
          <w:rFonts w:ascii="Times New Roman;Times;serif" w:hAnsi="Times New Roman;Times;serif"/>
          <w:b/>
          <w:i/>
          <w:sz w:val="20"/>
        </w:rPr>
        <w:t>Holdings Series A Stock</w:t>
      </w:r>
      <w:r>
        <w:rPr>
          <w:rFonts w:ascii="Times New Roman;Times;serif" w:hAnsi="Times New Roman;Times;serif"/>
          <w:sz w:val="20"/>
        </w:rPr>
        <w:t>”) in a private placement at $9.60 per share, for an aggregate purchase price of $14.4 million (the “</w:t>
      </w:r>
      <w:r>
        <w:rPr>
          <w:rFonts w:ascii="Times New Roman;Times;serif" w:hAnsi="Times New Roman;Times;serif"/>
          <w:b/>
          <w:i/>
          <w:sz w:val="20"/>
        </w:rPr>
        <w:t>Series A PIPE</w:t>
      </w:r>
      <w:r>
        <w:rPr>
          <w:rFonts w:ascii="Times New Roman;Times;serif" w:hAnsi="Times New Roman;Times;serif"/>
          <w:sz w:val="20"/>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Holdings </w:t>
      </w:r>
      <w:r>
        <w:rPr>
          <w:rFonts w:ascii="Times New Roman;Times;serif" w:hAnsi="Times New Roman;Times;serif"/>
          <w:sz w:val="22"/>
        </w:rPr>
        <w:t>applied</w:t>
      </w:r>
      <w:r>
        <w:rPr>
          <w:rFonts w:ascii="Times New Roman;Times;serif" w:hAnsi="Times New Roman;Times;serif"/>
          <w:sz w:val="20"/>
        </w:rPr>
        <w:t xml:space="preserve"> to have the Holdings common stock and Holdings warrants listed on the Nasdaq Global Market (the “</w:t>
      </w:r>
      <w:r>
        <w:rPr>
          <w:rFonts w:ascii="Times New Roman;Times;serif" w:hAnsi="Times New Roman;Times;serif"/>
          <w:b/>
          <w:i/>
          <w:sz w:val="20"/>
        </w:rPr>
        <w:t>Nasdaq</w:t>
      </w:r>
      <w:r>
        <w:rPr>
          <w:rFonts w:ascii="Times New Roman;Times;serif" w:hAnsi="Times New Roman;Times;serif"/>
          <w:sz w:val="20"/>
        </w:rPr>
        <w:t xml:space="preserve">”) under the symbols </w:t>
      </w:r>
      <w:r>
        <w:rPr>
          <w:rFonts w:ascii="Times New Roman;Times;serif" w:hAnsi="Times New Roman;Times;serif"/>
          <w:b/>
          <w:sz w:val="20"/>
        </w:rPr>
        <w:t>BCG</w:t>
      </w:r>
      <w:r>
        <w:rPr>
          <w:rFonts w:ascii="Times New Roman;Times;serif" w:hAnsi="Times New Roman;Times;serif"/>
          <w:sz w:val="20"/>
        </w:rPr>
        <w:t xml:space="preserve"> and </w:t>
      </w:r>
      <w:r>
        <w:rPr>
          <w:rFonts w:ascii="Times New Roman;Times;serif" w:hAnsi="Times New Roman;Times;serif"/>
          <w:b/>
          <w:sz w:val="20"/>
        </w:rPr>
        <w:t>BCGWW</w:t>
      </w:r>
      <w:r>
        <w:rPr>
          <w:rFonts w:ascii="Times New Roman;Times;serif" w:hAnsi="Times New Roman;Times;serif"/>
          <w:sz w:val="20"/>
        </w:rPr>
        <w:t xml:space="preserve">, respectively. </w:t>
      </w:r>
      <w:r>
        <w:rPr>
          <w:rFonts w:ascii="Times New Roman;Times;serif" w:hAnsi="Times New Roman;Times;serif"/>
          <w:sz w:val="22"/>
        </w:rPr>
        <w:t>Prior to the mergers, the KWAC Class A Common Stock and KWAC Public Warrants were listed on the OTC Exchange under the symbols “KWAC” and “KWAC.WS,”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26, 2024, Holdings received approval for Holding’s securities to be listed on the Nasdaq Stock Market LLC. Holdings common stock is listed on the Nasdaq Global Market and its warrants will be listed on the Nasdaq Capital Market under the symbols “BCG” and “BCGWW”, respectively.</w:t>
      </w:r>
    </w:p>
    <w:p>
      <w:pPr>
        <w:pStyle w:val="TextBody"/>
        <w:bidi w:val="0"/>
        <w:spacing w:before="0" w:after="240"/>
        <w:ind w:left="0" w:right="0" w:hanging="0"/>
        <w:jc w:val="both"/>
        <w:rPr/>
      </w:pPr>
      <w:r>
        <w:rPr/>
        <w:t>​</w:t>
      </w:r>
    </w:p>
    <w:tbl>
      <w:tblPr>
        <w:tblW w:w="5207" w:type="dxa"/>
        <w:jc w:val="left"/>
        <w:tblInd w:w="0" w:type="dxa"/>
        <w:tblLayout w:type="fixed"/>
        <w:tblCellMar>
          <w:top w:w="0" w:type="dxa"/>
          <w:left w:w="0" w:type="dxa"/>
          <w:bottom w:w="0" w:type="dxa"/>
          <w:right w:w="0" w:type="dxa"/>
        </w:tblCellMar>
      </w:tblPr>
      <w:tblGrid>
        <w:gridCol w:w="271"/>
        <w:gridCol w:w="493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49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REVENUES FROM CONTRACTS WITH CUSTOMERS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contracts with customers are recognized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and risk before the good or service is transferred and discretion in establishing the price.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Commissions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Commission revenues represent sales commissions generated by advisors for their clients’ purchases and sales of securities on exchanges and over-the-counter, as well as purchases of other investment products. The Company views the selling, distribution and marketing, or any combination thereof, of investment products to such clients as a single performance obligation to the product sponsors.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the principal for commission revenues, as it is responsible for the execution of the clients’ purchases and sales and maintains relationships with the product sponsors. Advisors assist the Company in performing its obligations. Accordingly, total commission revenues are reported on a gross basis.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216" w:name="Tc_CiKwhZx_Lkug7RcqJEduHg_8_11"/>
      <w:bookmarkStart w:id="1217" w:name="Tc_9A67KWYaCU2jeGDCNwOhBg_8_8"/>
      <w:bookmarkStart w:id="1218" w:name="Tc_h9U_SwweyEyWClkK-qBahw_8_5"/>
      <w:bookmarkStart w:id="1219" w:name="Tc_EgoKze_770GRSxKAKPWFag_8_2"/>
      <w:bookmarkStart w:id="1220" w:name="Tc_N5hg8KqBIEejg_QWx8vjgA_8_0"/>
      <w:bookmarkStart w:id="1221" w:name="Tc_7XFx8IG2R0Kcs5uNuFcBJg_7_0"/>
      <w:bookmarkStart w:id="1222" w:name="Tc_RNXDIKfyjUa4FGRq_AocNQ_6_0"/>
      <w:bookmarkStart w:id="1223" w:name="Tc_w4FN85fjv0WVOXr1Tdy-6w_5_0"/>
      <w:bookmarkStart w:id="1224" w:name="Tc_CspMZGHLe068iEL7VkerfQ_4_11"/>
      <w:bookmarkStart w:id="1225" w:name="Tc_ujlu7oLYLU6SigeGPOTX8A_4_8"/>
      <w:bookmarkStart w:id="1226" w:name="Tc_P1abj338LEiMkzlaj8IHtg_4_5"/>
      <w:bookmarkStart w:id="1227" w:name="Tc_tCC5bgiviUmaKDIsAOMiCg_4_2"/>
      <w:bookmarkStart w:id="1228" w:name="Tc_Zd1rSY8zLUCVC7UKGyAO5A_4_0"/>
      <w:bookmarkStart w:id="1229" w:name="Tc_DXvxS2VwlE-Kt0o5ALt9Sw_3_11"/>
      <w:bookmarkStart w:id="1230" w:name="Tc_-Yo4G0EWDUyKfssErRbQRA_3_8"/>
      <w:bookmarkStart w:id="1231" w:name="Tc_WhVGVPMYzkWHfdBRTjAaqA_3_5"/>
      <w:bookmarkStart w:id="1232" w:name="Tc_AxI-KGm2QkSJocW3NivhIA_3_2"/>
      <w:bookmarkStart w:id="1233" w:name="Tc_m5xBjlAm8UKBQb4smby3Gg_3_0"/>
      <w:bookmarkStart w:id="1234" w:name="Tc_G8xgADCAIUWpYusVcEX70g_2_8"/>
      <w:bookmarkStart w:id="1235" w:name="Tc_voh-sakPn06N2utcxiXDwg_2_2"/>
      <w:bookmarkStart w:id="1236" w:name="Tc_6sYEU01QjkaIH1rgsmfUhA_1_8"/>
      <w:bookmarkStart w:id="1237" w:name="Tc_Fgq6Uu6aEE-jsA0Ukb_kWw_1_2"/>
      <w:bookmarkStart w:id="1238" w:name="_ddb38937_c7cc_42c8_81a0_1a495f5d5d19"/>
      <w:bookmarkStart w:id="1239" w:name="Tc_Gb2uY-Rx4EqPLMQco7cU0Q_9_11"/>
      <w:bookmarkStart w:id="1240" w:name="Tc_e8YIIA4MYUu1fhoKXzO6tQ_9_8"/>
      <w:bookmarkStart w:id="1241" w:name="Tc_Ft0J32HY9UGk4gAvsr_W2g_9_5"/>
      <w:bookmarkStart w:id="1242" w:name="Tc_IjNcAmHkCkC2ZI33A1oQNg_9_2"/>
      <w:bookmarkStart w:id="1243" w:name="Tc_6MXtrA-6IEycbSsmehbYdQ_9_0"/>
      <w:bookmarkStart w:id="1244" w:name="Tc__-m3_blL40eJPEgmZNiTPg_8_0"/>
      <w:bookmarkStart w:id="1245" w:name="Tc_sSJ3smB5VEGkDBhuxWzD1Q_7_0"/>
      <w:bookmarkStart w:id="1246" w:name="Tc_W4mzA5b__kGk7_36ywzEuA_6_0"/>
      <w:bookmarkStart w:id="1247" w:name="Tc_TQTaz-PTVUOy0p7RNYgA-Q_5_0"/>
      <w:bookmarkStart w:id="1248" w:name="Tc_P0io_rfcI0yPcDRWXflDCg_4_11"/>
      <w:bookmarkStart w:id="1249" w:name="Tc_WyrvLjVe-EKlHxBSRJYGsQ_4_8"/>
      <w:bookmarkStart w:id="1250" w:name="Tc_M9j-MofaNUiXZvPIEGGDBw_4_5"/>
      <w:bookmarkStart w:id="1251" w:name="Tc_FehJSzSNEkC2JSMR1z8svA_4_2"/>
      <w:bookmarkStart w:id="1252" w:name="Tc_YCvfeKfOIkqVXcqtq6lPUw_4_0"/>
      <w:bookmarkStart w:id="1253" w:name="Tc_A-eCVJaMeE-opEUZRp8xWQ_3_11"/>
      <w:bookmarkStart w:id="1254" w:name="Tc_m12Sfo_agkGItQ1fPuHtpA_3_8"/>
      <w:bookmarkStart w:id="1255" w:name="Tc_Q-G0fP5VVEy4OF1FDjJF1A_3_5"/>
      <w:bookmarkStart w:id="1256" w:name="Tc_gZCX2ZazwkCVpfvBQGMcNg_3_2"/>
      <w:bookmarkStart w:id="1257" w:name="Tc_X-G_N1PN_0GCXRbDzBeNEw_3_0"/>
      <w:bookmarkStart w:id="1258" w:name="Tc_H6mS4zq3FkeE_mRTm0CQhA_2_8"/>
      <w:bookmarkStart w:id="1259" w:name="Tc_pdH5Oa4qyUW5gNiNgk6W1Q_2_2"/>
      <w:bookmarkStart w:id="1260" w:name="Tc_ltJBdVkuEkWFNxiGNxFkHQ_1_8"/>
      <w:bookmarkStart w:id="1261" w:name="Tc_IF9UhDX8J0CrNBzWll1Rpg_1_2"/>
      <w:bookmarkStart w:id="1262" w:name="_c9d3fc53_74b9_4df5_ab69_710a41fcf1f1"/>
      <w:bookmarkStart w:id="1263" w:name="Tc_CiKwhZx_Lkug7RcqJEduHg_8_11"/>
      <w:bookmarkStart w:id="1264" w:name="Tc_9A67KWYaCU2jeGDCNwOhBg_8_8"/>
      <w:bookmarkStart w:id="1265" w:name="Tc_h9U_SwweyEyWClkK-qBahw_8_5"/>
      <w:bookmarkStart w:id="1266" w:name="Tc_EgoKze_770GRSxKAKPWFag_8_2"/>
      <w:bookmarkStart w:id="1267" w:name="Tc_N5hg8KqBIEejg_QWx8vjgA_8_0"/>
      <w:bookmarkStart w:id="1268" w:name="Tc_7XFx8IG2R0Kcs5uNuFcBJg_7_0"/>
      <w:bookmarkStart w:id="1269" w:name="Tc_RNXDIKfyjUa4FGRq_AocNQ_6_0"/>
      <w:bookmarkStart w:id="1270" w:name="Tc_w4FN85fjv0WVOXr1Tdy-6w_5_0"/>
      <w:bookmarkStart w:id="1271" w:name="Tc_CspMZGHLe068iEL7VkerfQ_4_11"/>
      <w:bookmarkStart w:id="1272" w:name="Tc_ujlu7oLYLU6SigeGPOTX8A_4_8"/>
      <w:bookmarkStart w:id="1273" w:name="Tc_P1abj338LEiMkzlaj8IHtg_4_5"/>
      <w:bookmarkStart w:id="1274" w:name="Tc_tCC5bgiviUmaKDIsAOMiCg_4_2"/>
      <w:bookmarkStart w:id="1275" w:name="Tc_Zd1rSY8zLUCVC7UKGyAO5A_4_0"/>
      <w:bookmarkStart w:id="1276" w:name="Tc_DXvxS2VwlE-Kt0o5ALt9Sw_3_11"/>
      <w:bookmarkStart w:id="1277" w:name="Tc_-Yo4G0EWDUyKfssErRbQRA_3_8"/>
      <w:bookmarkStart w:id="1278" w:name="Tc_WhVGVPMYzkWHfdBRTjAaqA_3_5"/>
      <w:bookmarkStart w:id="1279" w:name="Tc_AxI-KGm2QkSJocW3NivhIA_3_2"/>
      <w:bookmarkStart w:id="1280" w:name="Tc_m5xBjlAm8UKBQb4smby3Gg_3_0"/>
      <w:bookmarkStart w:id="1281" w:name="Tc_G8xgADCAIUWpYusVcEX70g_2_8"/>
      <w:bookmarkStart w:id="1282" w:name="Tc_voh-sakPn06N2utcxiXDwg_2_2"/>
      <w:bookmarkStart w:id="1283" w:name="Tc_6sYEU01QjkaIH1rgsmfUhA_1_8"/>
      <w:bookmarkStart w:id="1284" w:name="Tc_Fgq6Uu6aEE-jsA0Ukb_kWw_1_2"/>
      <w:bookmarkStart w:id="1285" w:name="_ddb38937_c7cc_42c8_81a0_1a495f5d5d19"/>
      <w:bookmarkStart w:id="1286" w:name="Tc_Gb2uY-Rx4EqPLMQco7cU0Q_9_11"/>
      <w:bookmarkStart w:id="1287" w:name="Tc_e8YIIA4MYUu1fhoKXzO6tQ_9_8"/>
      <w:bookmarkStart w:id="1288" w:name="Tc_Ft0J32HY9UGk4gAvsr_W2g_9_5"/>
      <w:bookmarkStart w:id="1289" w:name="Tc_IjNcAmHkCkC2ZI33A1oQNg_9_2"/>
      <w:bookmarkStart w:id="1290" w:name="Tc_6MXtrA-6IEycbSsmehbYdQ_9_0"/>
      <w:bookmarkStart w:id="1291" w:name="Tc__-m3_blL40eJPEgmZNiTPg_8_0"/>
      <w:bookmarkStart w:id="1292" w:name="Tc_sSJ3smB5VEGkDBhuxWzD1Q_7_0"/>
      <w:bookmarkStart w:id="1293" w:name="Tc_W4mzA5b__kGk7_36ywzEuA_6_0"/>
      <w:bookmarkStart w:id="1294" w:name="Tc_TQTaz-PTVUOy0p7RNYgA-Q_5_0"/>
      <w:bookmarkStart w:id="1295" w:name="Tc_P0io_rfcI0yPcDRWXflDCg_4_11"/>
      <w:bookmarkStart w:id="1296" w:name="Tc_WyrvLjVe-EKlHxBSRJYGsQ_4_8"/>
      <w:bookmarkStart w:id="1297" w:name="Tc_M9j-MofaNUiXZvPIEGGDBw_4_5"/>
      <w:bookmarkStart w:id="1298" w:name="Tc_FehJSzSNEkC2JSMR1z8svA_4_2"/>
      <w:bookmarkStart w:id="1299" w:name="Tc_YCvfeKfOIkqVXcqtq6lPUw_4_0"/>
      <w:bookmarkStart w:id="1300" w:name="Tc_A-eCVJaMeE-opEUZRp8xWQ_3_11"/>
      <w:bookmarkStart w:id="1301" w:name="Tc_m12Sfo_agkGItQ1fPuHtpA_3_8"/>
      <w:bookmarkStart w:id="1302" w:name="Tc_Q-G0fP5VVEy4OF1FDjJF1A_3_5"/>
      <w:bookmarkStart w:id="1303" w:name="Tc_gZCX2ZazwkCVpfvBQGMcNg_3_2"/>
      <w:bookmarkStart w:id="1304" w:name="Tc_X-G_N1PN_0GCXRbDzBeNEw_3_0"/>
      <w:bookmarkStart w:id="1305" w:name="Tc_H6mS4zq3FkeE_mRTm0CQhA_2_8"/>
      <w:bookmarkStart w:id="1306" w:name="Tc_pdH5Oa4qyUW5gNiNgk6W1Q_2_2"/>
      <w:bookmarkStart w:id="1307" w:name="Tc_ltJBdVkuEkWFNxiGNxFkHQ_1_8"/>
      <w:bookmarkStart w:id="1308" w:name="Tc_IF9UhDX8J0CrNBzWll1Rpg_1_2"/>
      <w:bookmarkStart w:id="1309" w:name="_c9d3fc53_74b9_4df5_ab69_710a41fcf1f1"/>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p>
    <w:tbl>
      <w:tblPr>
        <w:tblW w:w="6332" w:type="dxa"/>
        <w:jc w:val="left"/>
        <w:tblInd w:w="0" w:type="dxa"/>
        <w:tblLayout w:type="fixed"/>
        <w:tblCellMar>
          <w:top w:w="0" w:type="dxa"/>
          <w:left w:w="0" w:type="dxa"/>
          <w:bottom w:w="0" w:type="dxa"/>
          <w:right w:w="0" w:type="dxa"/>
        </w:tblCellMar>
      </w:tblPr>
      <w:tblGrid>
        <w:gridCol w:w="271"/>
        <w:gridCol w:w="606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60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REVENUES FROM CONTRACTS WITH CUSTOMERS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generates two types of commission revenues: sales-based commissions that are recognized at the point of sale on the trade date and trailing commissions that are recognized over time as earned. Sales-based commission revenues vary by investment product and are based on a percentage of an investment product’s current market value at the time of purchase. Trailing commission revenues are generally based on a percentage of the current market value of clients’ investment holdings in trail-eligible assets, and are recognized over the period during which services, such as ongoing support, are performed. As trailing commission revenues are based on the market value of clients’ investment holdings, the consideration is variable, and an estimate of the variable consideration is constrained due to dependence on unpredictable market impacts. The constraint is removed once the value of the clients’ investment holdings can be determined.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Advisory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represent fees charged to advisors’ clients’ accounts on the Company’s corporate advisory platform. The Company provides ongoing investment advice, brokerage and execution services on transactions, and performs administrative services for these accounts. This series of performance obligations transfers control of the services to the client over time as the services are performed. These revenues are recognized ratably over time to match the continued delivery of the performance obligations to the client over the life of the contract. The advisory revenues generated from the Company’s corporate advisory platform are based on a percentage of the market value of the eligible assets in the clients’ advisory accounts. As such, the consideration for these revenues is variable and an estimate of the variable consideration is constrained due to dependence on unpredictable market impacts on client portfolio values. The constraint is removed once the value of the clients’ investment holdings can be determined.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provides advisory services to clients on its corporate advisory platform through the advisor. The Company is the principal in these arrangements and recognizes advisory revenues on a gross basis, as the Company is responsible for satisfying the performance obligations and has control over determining the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total revenue from contracts with customers disaggregated by investment product for the periods ended September 30 </w:t>
      </w:r>
      <w:r>
        <w:rPr>
          <w:rFonts w:ascii="Times New Roman;Times;serif" w:hAnsi="Times New Roman;Times;serif"/>
          <w:i/>
          <w:sz w:val="20"/>
        </w:rPr>
        <w:t>(in thousands)</w:t>
      </w:r>
      <w:r>
        <w:rPr>
          <w:rFonts w:ascii="Times New Roman;Times;serif" w:hAnsi="Times New Roman;Times;serif"/>
          <w:sz w:val="20"/>
        </w:rPr>
        <w:t>:</w:t>
      </w:r>
    </w:p>
    <w:tbl>
      <w:tblPr>
        <w:tblW w:w="9503" w:type="dxa"/>
        <w:jc w:val="left"/>
        <w:tblInd w:w="0" w:type="dxa"/>
        <w:tblLayout w:type="fixed"/>
        <w:tblCellMar>
          <w:top w:w="0" w:type="dxa"/>
          <w:left w:w="0" w:type="dxa"/>
          <w:bottom w:w="0" w:type="dxa"/>
          <w:right w:w="0" w:type="dxa"/>
        </w:tblCellMar>
      </w:tblPr>
      <w:tblGrid>
        <w:gridCol w:w="4336"/>
        <w:gridCol w:w="326"/>
        <w:gridCol w:w="211"/>
        <w:gridCol w:w="676"/>
        <w:gridCol w:w="326"/>
        <w:gridCol w:w="211"/>
        <w:gridCol w:w="676"/>
        <w:gridCol w:w="326"/>
        <w:gridCol w:w="211"/>
        <w:gridCol w:w="781"/>
        <w:gridCol w:w="326"/>
        <w:gridCol w:w="211"/>
        <w:gridCol w:w="886"/>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753360" cy="175260"/>
                      <wp:effectExtent l="0" t="0" r="0" b="0"/>
                      <wp:wrapNone/>
                      <wp:docPr id="72" name="Frame72"/>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29260" cy="175260"/>
                      <wp:effectExtent l="0" t="0" r="0" b="0"/>
                      <wp:wrapNone/>
                      <wp:docPr id="75" name="Frame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9260" cy="175260"/>
                      <wp:effectExtent l="0" t="0" r="0" b="0"/>
                      <wp:wrapNone/>
                      <wp:docPr id="78" name="Frame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95935" cy="175260"/>
                      <wp:effectExtent l="0" t="0" r="0" b="0"/>
                      <wp:wrapNone/>
                      <wp:docPr id="81" name="Frame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62610" cy="175260"/>
                      <wp:effectExtent l="0" t="0" r="0" b="0"/>
                      <wp:wrapNone/>
                      <wp:docPr id="84" name="Frame8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4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3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 From Contracts With Customers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74,943</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15,037</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8,791</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4,065</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18,250</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133,454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121,086</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tables presents sales-based and trailing revenues disaggregated by product category for the periods ended September 30 </w:t>
      </w:r>
      <w:r>
        <w:rPr>
          <w:rFonts w:ascii="Times New Roman;Times;serif" w:hAnsi="Times New Roman;Times;serif"/>
          <w:i/>
          <w:sz w:val="20"/>
        </w:rPr>
        <w:t>(in thousands)</w:t>
      </w:r>
      <w:r>
        <w:rPr>
          <w:rFonts w:ascii="Times New Roman;Times;serif" w:hAnsi="Times New Roman;Times;serif"/>
          <w:sz w:val="20"/>
        </w:rPr>
        <w:t>:</w:t>
      </w:r>
    </w:p>
    <w:tbl>
      <w:tblPr>
        <w:tblW w:w="9293" w:type="dxa"/>
        <w:jc w:val="left"/>
        <w:tblInd w:w="0" w:type="dxa"/>
        <w:tblLayout w:type="fixed"/>
        <w:tblCellMar>
          <w:top w:w="0" w:type="dxa"/>
          <w:left w:w="0" w:type="dxa"/>
          <w:bottom w:w="0" w:type="dxa"/>
          <w:right w:w="0" w:type="dxa"/>
        </w:tblCellMar>
      </w:tblPr>
      <w:tblGrid>
        <w:gridCol w:w="4336"/>
        <w:gridCol w:w="326"/>
        <w:gridCol w:w="211"/>
        <w:gridCol w:w="676"/>
        <w:gridCol w:w="326"/>
        <w:gridCol w:w="211"/>
        <w:gridCol w:w="676"/>
        <w:gridCol w:w="326"/>
        <w:gridCol w:w="211"/>
        <w:gridCol w:w="676"/>
        <w:gridCol w:w="326"/>
        <w:gridCol w:w="211"/>
        <w:gridCol w:w="7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753360" cy="175260"/>
                      <wp:effectExtent l="0" t="0" r="0" b="0"/>
                      <wp:wrapNone/>
                      <wp:docPr id="85" name="Frame85"/>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29260" cy="175260"/>
                      <wp:effectExtent l="0" t="0" r="0" b="0"/>
                      <wp:wrapNone/>
                      <wp:docPr id="88" name="Frame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29260" cy="175260"/>
                      <wp:effectExtent l="0" t="0" r="0" b="0"/>
                      <wp:wrapNone/>
                      <wp:docPr id="91" name="Frame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29260" cy="175260"/>
                      <wp:effectExtent l="0" t="0" r="0" b="0"/>
                      <wp:wrapNone/>
                      <wp:docPr id="94" name="Frame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95935" cy="175260"/>
                      <wp:effectExtent l="0" t="0" r="0" b="0"/>
                      <wp:wrapNone/>
                      <wp:docPr id="97" name="Frame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2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Sales-based (Point in time)</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31,826</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3,471</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8,791</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3,970</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Sales Based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48,058</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10" w:name="Tc_LbKbSn92fESM-SnJSzkNeg_9_11"/>
      <w:bookmarkStart w:id="1311" w:name="Tc_PZvhcmH7mUi45MMJnyc3UA_9_8"/>
      <w:bookmarkStart w:id="1312" w:name="Tc_-dCsl1k1u02UXH6AXXzfCA_9_5"/>
      <w:bookmarkStart w:id="1313" w:name="Tc_4gcHS_M8nkO_3rMaTCxwhw_9_2"/>
      <w:bookmarkStart w:id="1314" w:name="Tc_mqU1fpUgokWExhXz2qYd2g_9_0"/>
      <w:bookmarkStart w:id="1315" w:name="Tc_GjjHFwmqt02mI4xd8g7s0Q_8_0"/>
      <w:bookmarkStart w:id="1316" w:name="Tc_DogViSAQWEOWrli4Pxt6IA_7_0"/>
      <w:bookmarkStart w:id="1317" w:name="Tc_N_1DzjOKt0WG8aVgWSWzEA_6_0"/>
      <w:bookmarkStart w:id="1318" w:name="Tc_cIPbCQ1tHku4ouyW3l_dVg_5_0"/>
      <w:bookmarkStart w:id="1319" w:name="Tc_Xd2iQ5cWX0Gvx2qjA1o7Rw_4_11"/>
      <w:bookmarkStart w:id="1320" w:name="Tc_9lDY_MHdP0i4t-KyAvy63w_4_8"/>
      <w:bookmarkStart w:id="1321" w:name="Tc_YAkykf9ImUShbWaAOWBptg_4_5"/>
      <w:bookmarkStart w:id="1322" w:name="Tc_Edkj3LcOAEy4jyBs8VFJxA_4_2"/>
      <w:bookmarkStart w:id="1323" w:name="Tc_pxxUuxOABku7vmj43fvO-A_4_0"/>
      <w:bookmarkStart w:id="1324" w:name="Tc_uAOMneNtfUOAcbTkm6wDJw_3_11"/>
      <w:bookmarkStart w:id="1325" w:name="Tc_N5dkb_kr2kORS3yr9PM35Q_3_8"/>
      <w:bookmarkStart w:id="1326" w:name="Tc_TUfTsaG6x0-kj2_qzTCVTQ_3_5"/>
      <w:bookmarkStart w:id="1327" w:name="Tc_yCEcGuhHLkGUFD-NUedmIg_3_2"/>
      <w:bookmarkStart w:id="1328" w:name="Tc_u8ffwJTToUKDPWrZF2PsCA_3_0"/>
      <w:bookmarkStart w:id="1329" w:name="Tc_WO_PIP0yiEaI1NbvJni7qA_2_8"/>
      <w:bookmarkStart w:id="1330" w:name="Tc_FpdlLpylYU-8huL6GrWeoQ_2_2"/>
      <w:bookmarkStart w:id="1331" w:name="Tc_P9eofgoXrUCrM-33TeqO2Q_1_8"/>
      <w:bookmarkStart w:id="1332" w:name="Tc_ov3jqOdyTEakSdP57uo17Q_1_2"/>
      <w:bookmarkStart w:id="1333" w:name="Tc_LbKbSn92fESM-SnJSzkNeg_9_11"/>
      <w:bookmarkStart w:id="1334" w:name="Tc_PZvhcmH7mUi45MMJnyc3UA_9_8"/>
      <w:bookmarkStart w:id="1335" w:name="Tc_-dCsl1k1u02UXH6AXXzfCA_9_5"/>
      <w:bookmarkStart w:id="1336" w:name="Tc_4gcHS_M8nkO_3rMaTCxwhw_9_2"/>
      <w:bookmarkStart w:id="1337" w:name="Tc_mqU1fpUgokWExhXz2qYd2g_9_0"/>
      <w:bookmarkStart w:id="1338" w:name="Tc_GjjHFwmqt02mI4xd8g7s0Q_8_0"/>
      <w:bookmarkStart w:id="1339" w:name="Tc_DogViSAQWEOWrli4Pxt6IA_7_0"/>
      <w:bookmarkStart w:id="1340" w:name="Tc_N_1DzjOKt0WG8aVgWSWzEA_6_0"/>
      <w:bookmarkStart w:id="1341" w:name="Tc_cIPbCQ1tHku4ouyW3l_dVg_5_0"/>
      <w:bookmarkStart w:id="1342" w:name="Tc_Xd2iQ5cWX0Gvx2qjA1o7Rw_4_11"/>
      <w:bookmarkStart w:id="1343" w:name="Tc_9lDY_MHdP0i4t-KyAvy63w_4_8"/>
      <w:bookmarkStart w:id="1344" w:name="Tc_YAkykf9ImUShbWaAOWBptg_4_5"/>
      <w:bookmarkStart w:id="1345" w:name="Tc_Edkj3LcOAEy4jyBs8VFJxA_4_2"/>
      <w:bookmarkStart w:id="1346" w:name="Tc_pxxUuxOABku7vmj43fvO-A_4_0"/>
      <w:bookmarkStart w:id="1347" w:name="Tc_uAOMneNtfUOAcbTkm6wDJw_3_11"/>
      <w:bookmarkStart w:id="1348" w:name="Tc_N5dkb_kr2kORS3yr9PM35Q_3_8"/>
      <w:bookmarkStart w:id="1349" w:name="Tc_TUfTsaG6x0-kj2_qzTCVTQ_3_5"/>
      <w:bookmarkStart w:id="1350" w:name="Tc_yCEcGuhHLkGUFD-NUedmIg_3_2"/>
      <w:bookmarkStart w:id="1351" w:name="Tc_u8ffwJTToUKDPWrZF2PsCA_3_0"/>
      <w:bookmarkStart w:id="1352" w:name="Tc_WO_PIP0yiEaI1NbvJni7qA_2_8"/>
      <w:bookmarkStart w:id="1353" w:name="Tc_FpdlLpylYU-8huL6GrWeoQ_2_2"/>
      <w:bookmarkStart w:id="1354" w:name="Tc_P9eofgoXrUCrM-33TeqO2Q_1_8"/>
      <w:bookmarkStart w:id="1355" w:name="Tc_ov3jqOdyTEakSdP57uo17Q_1_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p>
    <w:tbl>
      <w:tblPr>
        <w:tblW w:w="6332" w:type="dxa"/>
        <w:jc w:val="left"/>
        <w:tblInd w:w="0" w:type="dxa"/>
        <w:tblLayout w:type="fixed"/>
        <w:tblCellMar>
          <w:top w:w="0" w:type="dxa"/>
          <w:left w:w="0" w:type="dxa"/>
          <w:bottom w:w="0" w:type="dxa"/>
          <w:right w:w="0" w:type="dxa"/>
        </w:tblCellMar>
      </w:tblPr>
      <w:tblGrid>
        <w:gridCol w:w="271"/>
        <w:gridCol w:w="606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60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REVENUES FROM CONTRACTS WITH CUSTOMERS </w:t>
            </w:r>
            <w:r>
              <w:rPr>
                <w:rFonts w:ascii="Times New Roman;Times;serif" w:hAnsi="Times New Roman;Times;serif"/>
                <w:b/>
                <w:i/>
                <w:sz w:val="22"/>
              </w:rPr>
              <w:t>(continued)</w:t>
            </w:r>
          </w:p>
        </w:tc>
      </w:tr>
    </w:tbl>
    <w:p>
      <w:pPr>
        <w:pStyle w:val="TextBody"/>
        <w:bidi w:val="0"/>
        <w:spacing w:before="0" w:after="0"/>
        <w:ind w:left="0" w:right="0" w:hanging="0"/>
        <w:jc w:val="left"/>
        <w:rPr/>
      </w:pPr>
      <w:r>
        <w:rPr/>
        <w:t>​</w:t>
      </w:r>
    </w:p>
    <w:tbl>
      <w:tblPr>
        <w:tblW w:w="9503" w:type="dxa"/>
        <w:jc w:val="left"/>
        <w:tblInd w:w="0" w:type="dxa"/>
        <w:tblLayout w:type="fixed"/>
        <w:tblCellMar>
          <w:top w:w="0" w:type="dxa"/>
          <w:left w:w="0" w:type="dxa"/>
          <w:bottom w:w="0" w:type="dxa"/>
          <w:right w:w="0" w:type="dxa"/>
        </w:tblCellMar>
      </w:tblPr>
      <w:tblGrid>
        <w:gridCol w:w="4336"/>
        <w:gridCol w:w="326"/>
        <w:gridCol w:w="211"/>
        <w:gridCol w:w="676"/>
        <w:gridCol w:w="326"/>
        <w:gridCol w:w="211"/>
        <w:gridCol w:w="676"/>
        <w:gridCol w:w="326"/>
        <w:gridCol w:w="211"/>
        <w:gridCol w:w="781"/>
        <w:gridCol w:w="326"/>
        <w:gridCol w:w="211"/>
        <w:gridCol w:w="886"/>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753360" cy="175260"/>
                      <wp:effectExtent l="0" t="0" r="0" b="0"/>
                      <wp:wrapNone/>
                      <wp:docPr id="98" name="Frame98"/>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29260" cy="175260"/>
                      <wp:effectExtent l="0" t="0" r="0" b="0"/>
                      <wp:wrapNone/>
                      <wp:docPr id="101" name="Frame1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4" name="Frame1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95935" cy="175260"/>
                      <wp:effectExtent l="0" t="0" r="0" b="0"/>
                      <wp:wrapNone/>
                      <wp:docPr id="107" name="Frame1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62610" cy="175260"/>
                      <wp:effectExtent l="0" t="0" r="0" b="0"/>
                      <wp:wrapNone/>
                      <wp:docPr id="110" name="Frame11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4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33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Trailing (Over time)</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43,117</w:t>
            </w:r>
          </w:p>
        </w:tc>
      </w:tr>
      <w:tr>
        <w:trPr/>
        <w:tc>
          <w:tcPr>
            <w:tcW w:w="43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11,566</w:t>
            </w:r>
          </w:p>
        </w:tc>
      </w:tr>
      <w:tr>
        <w:trPr/>
        <w:tc>
          <w:tcPr>
            <w:tcW w:w="43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18,250</w:t>
            </w:r>
          </w:p>
        </w:tc>
      </w:tr>
      <w:tr>
        <w:trPr/>
        <w:tc>
          <w:tcPr>
            <w:tcW w:w="43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433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Trailing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24,587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73,028</w:t>
            </w:r>
          </w:p>
        </w:tc>
      </w:tr>
      <w:tr>
        <w:trPr/>
        <w:tc>
          <w:tcPr>
            <w:tcW w:w="433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41,027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133,454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121,086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Balances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timing of revenue recognition may differ from the timing of payment by the Company’s customers. The Company records a receivable when revenue is recognized prior to payment and there is an unconditional right to payment. The Company records a contract asset when the Company has recognized revenue prior to payment but the Company’s right to payment is conditional on something other than the passage of time. Alternatively, when payment precedes the provision of the related services, the Company records deferred revenues (a contract liability) until the performance obligations are satisfied. As of September 30, 2025, and December 31, 2024, the Company had receivables from contracts with customers totaling approximately $11.1 million and $10.1 million, respectively. The opening balance of receivables from contracts with customers was approximately $8.9 million as of January 1, 2024. As of September 30, 2025, and December 31, 2024, the Company had no liabilities from contracts with customers.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and Other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earns interest income from client margin accounts and cash equivalents. This revenue is not generated from contracts with customers. Additionally, the Company receives marketing fees and sponsorship income.</w:t>
      </w:r>
    </w:p>
    <w:p>
      <w:pPr>
        <w:pStyle w:val="TextBody"/>
        <w:bidi w:val="0"/>
        <w:spacing w:before="0" w:after="0"/>
        <w:ind w:left="0" w:right="0" w:hanging="0"/>
        <w:jc w:val="left"/>
        <w:rPr/>
      </w:pPr>
      <w:r>
        <w:rPr/>
        <w:t>​</w:t>
      </w:r>
    </w:p>
    <w:tbl>
      <w:tblPr>
        <w:tblW w:w="1607" w:type="dxa"/>
        <w:jc w:val="left"/>
        <w:tblInd w:w="0" w:type="dxa"/>
        <w:tblLayout w:type="fixed"/>
        <w:tblCellMar>
          <w:top w:w="0" w:type="dxa"/>
          <w:left w:w="0" w:type="dxa"/>
          <w:bottom w:w="0" w:type="dxa"/>
          <w:right w:w="0" w:type="dxa"/>
        </w:tblCellMar>
      </w:tblPr>
      <w:tblGrid>
        <w:gridCol w:w="271"/>
        <w:gridCol w:w="133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3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FAIR VALUE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FASB ASC 820, Fair Value Measurement defines fair value as the price that would be received to sell an asset or paid to transfer a liability in an orderly transaction between market participants at the measurement date. The standard establishes the following hierarchy used in fair value measurements and expands the required disclosures of assets and liabilities measured at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use quoted unadjusted prices in active markets for identical assets or liabilities that the Company can access.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Fair value measurements use other inputs that are observable, either directly or indirectly. These inputs include quoted prices for similar assets and liabilities in active markets as well as other inputs such as interest rates and yield curves that are observable at commonly quoted intervals.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that are unobservable inputs, including inputs that are available in situations where there is little, if any, market activity for the related asset or liability. The inputs or methodology used for valuing assets and liabilities are not necessarily an indication of the risk associated with investing in those assets and liabilities.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financial instruments are carried at cost on the statement of financial condition, which approximates fair value due to their short-term, highly liquid nature. The carrying value of debt approximates their fair value since the interest rates on these obligations represent current market rates.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56" w:name="_747da123_ce8a_4dae_a18a_c864a1d6101f_3"/>
      <w:bookmarkStart w:id="1357" w:name="_747da123_ce8a_4dae_a18a_c864a1d6101f_2"/>
      <w:bookmarkStart w:id="1358" w:name="_747da123_ce8a_4dae_a18a_c864a1d6101f"/>
      <w:bookmarkStart w:id="1359" w:name="_747da123_ce8a_4dae_a18a_c864a1d6101f_3"/>
      <w:bookmarkStart w:id="1360" w:name="_747da123_ce8a_4dae_a18a_c864a1d6101f_2"/>
      <w:bookmarkStart w:id="1361" w:name="_747da123_ce8a_4dae_a18a_c864a1d6101f"/>
      <w:bookmarkEnd w:id="1359"/>
      <w:bookmarkEnd w:id="1360"/>
      <w:bookmarkEnd w:id="1361"/>
    </w:p>
    <w:tbl>
      <w:tblPr>
        <w:tblW w:w="962" w:type="dxa"/>
        <w:jc w:val="left"/>
        <w:tblInd w:w="0" w:type="dxa"/>
        <w:tblLayout w:type="fixed"/>
        <w:tblCellMar>
          <w:top w:w="0" w:type="dxa"/>
          <w:left w:w="0" w:type="dxa"/>
          <w:bottom w:w="0" w:type="dxa"/>
          <w:right w:w="0" w:type="dxa"/>
        </w:tblCellMar>
      </w:tblPr>
      <w:tblGrid>
        <w:gridCol w:w="271"/>
        <w:gridCol w:w="69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6.</w:t>
            </w:r>
          </w:p>
        </w:tc>
        <w:tc>
          <w:tcPr>
            <w:tcW w:w="6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23, 2024 (the “Credit Agreement Closing Date”), BMS entered into a Credit Agreement (the “Credit Agreement”) with Byline Bank, as lender (the “Lender”), pursuant to which the Lender agreed, at BMS’s request, to (i) make to BMS a term loan in the original principal amount of $20.3 million (the “Term Loan”), which was funded on the Credit Agreement Closing Date; (ii) make to BMS, from time to time, certain non-revolving loans (the “Non-Revolving Loans”) in an aggregate principal amount of up to $1.0 million (the “Non-Revolving Loan Commitment”), to be funded through, but excluding, the Maturity Date (as defined below); and (iii) issue to BMS, from time to time, letters of credit (the “Letters of Credit” and together with the Term Loan and Non-Revolving Loans, the “Loans”) until the earliest to occur of (a) the one year from the Credit Agreement Closing Date and (b) the date on which the Non-Revolving Loans are fully drawn. As of September 30, 2025 and December 31, 2024, the outstanding balance under the Term Loan was $18.2 million and $19.6 million, respectively, net of unamortized debt issuance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Credit Agreement, to the extent that BMS requests a Letter of Credit, the Non-Revolving Loan Commitment shall be permanently reduced in an amount equal to the amount of such Letter of Credit. The Non-Revolving Loans may not be requested by BMS and may only be advanced in connection with a repayment of a Letter of Credit (“LC Payment”). As of September 30, 2025 and December 31, 2024, there were no amounts outstanding under the Non-Revolving Loan or Letter of Credit.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Loans (both principal and interest) made by the Lender to BMS is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“Term Loan Interest Rate”); (ii) as to the Non-Revolving Loans or any reimbursement obligations relating to a Letter of Credit, at an interest rate equal to the Term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four percent (4.00%) per annum; and (iii) if any other obligations is created under the Loan Documents (as defined in the Credit Agreement), at the Term Loan Interest Rate. As of September 30, 2025 and December 31, 2024, the effective interest rate was approximately 8.2% and 8.3%,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10, 2025, BMS entered into an interest rate swap agreement with a notional amount of $10 million in connection with the above-mentioned Credit Agreement. Under the terms of the swap, BMS pays a fixed rate of 3.98% plus four percent (4.00%) and receives a variable interest rate based on SOFR plus 4.00% as defined above. The swap agreement requires monthly payments to be made or received. The swap is designated as cash flow hedge of the variability of the SOFR-based interest payments on $10 million of BMS’s outstanding variable-rate 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2025, the interest rate swap had a fair value liability of $0.2 million and included in accounts payable, accrued expenses and other liabilities on the consolidated statement of financial condition. The Company has adopted the shortcut method allowing it to assume perfect hedge effectiveness. Changes in the effective portion of the swap’s fair value are recognized in accumulated other comprehensive income (loss) (“AOCI”) and included on the Condensed Consolidated Statement of Other Comprehensive Income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 Loan was used by BMS to refinance Existing Credit Facilities (as defined in the Credit Agreement) and the Non-Revolving Loans must be used solely to reimburse the Lender with respect to any Letters of Credit issued to BMS. The Term Loan refinanced the previous Oak Street Funding Facility.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62" w:name="Tc_Y4_uIQFaTkid35XA-BoHKQ_6_2"/>
      <w:bookmarkStart w:id="1363" w:name="Tc_OPBpghQfFU-b0kO9NtISTQ_5_0"/>
      <w:bookmarkStart w:id="1364" w:name="Tc_J1uMpfkZdUSbU7R2AwZfvw_4_0"/>
      <w:bookmarkStart w:id="1365" w:name="Tc_xgotfg4vBUG9kIojtfzGVg_3_0"/>
      <w:bookmarkStart w:id="1366" w:name="Tc_VrbGn871s0GgKI4hJfAziQ_2_0"/>
      <w:bookmarkStart w:id="1367" w:name="Tc_X9N4GAVtbUS5YsfDmBaqxA_1_2"/>
      <w:bookmarkStart w:id="1368" w:name="Tc_4JViG2yInEOm87xgZMdXAg_1_0"/>
      <w:bookmarkStart w:id="1369" w:name="_eed49e14_9200_4ac0_9598_6fc06bbebd1b"/>
      <w:bookmarkStart w:id="1370" w:name="Tc_Y4_uIQFaTkid35XA-BoHKQ_6_2"/>
      <w:bookmarkStart w:id="1371" w:name="Tc_OPBpghQfFU-b0kO9NtISTQ_5_0"/>
      <w:bookmarkStart w:id="1372" w:name="Tc_J1uMpfkZdUSbU7R2AwZfvw_4_0"/>
      <w:bookmarkStart w:id="1373" w:name="Tc_xgotfg4vBUG9kIojtfzGVg_3_0"/>
      <w:bookmarkStart w:id="1374" w:name="Tc_VrbGn871s0GgKI4hJfAziQ_2_0"/>
      <w:bookmarkStart w:id="1375" w:name="Tc_X9N4GAVtbUS5YsfDmBaqxA_1_2"/>
      <w:bookmarkStart w:id="1376" w:name="Tc_4JViG2yInEOm87xgZMdXAg_1_0"/>
      <w:bookmarkStart w:id="1377" w:name="_eed49e14_9200_4ac0_9598_6fc06bbebd1b"/>
      <w:bookmarkEnd w:id="1370"/>
      <w:bookmarkEnd w:id="1371"/>
      <w:bookmarkEnd w:id="1372"/>
      <w:bookmarkEnd w:id="1373"/>
      <w:bookmarkEnd w:id="1374"/>
      <w:bookmarkEnd w:id="1375"/>
      <w:bookmarkEnd w:id="1376"/>
      <w:bookmarkEnd w:id="1377"/>
    </w:p>
    <w:tbl>
      <w:tblPr>
        <w:tblW w:w="2087" w:type="dxa"/>
        <w:jc w:val="left"/>
        <w:tblInd w:w="0" w:type="dxa"/>
        <w:tblLayout w:type="fixed"/>
        <w:tblCellMar>
          <w:top w:w="0" w:type="dxa"/>
          <w:left w:w="0" w:type="dxa"/>
          <w:bottom w:w="0" w:type="dxa"/>
          <w:right w:w="0" w:type="dxa"/>
        </w:tblCellMar>
      </w:tblPr>
      <w:tblGrid>
        <w:gridCol w:w="271"/>
        <w:gridCol w:w="181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6.</w:t>
            </w:r>
          </w:p>
        </w:tc>
        <w:tc>
          <w:tcPr>
            <w:tcW w:w="181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DEBT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Credit Agreement also includes customary covenants for a transaction of this type, including financial covenants whereby BMS and its subsidiaries on a consolidated basis may not have, as of the last day of each fiscal quarter, commencing with fiscal quarter ending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September 30, 2025, not more than 3.00 to 1.00; and (B) for the fiscal quarter ended December 31, 2025 and each fiscal quarter ending thereafter, not more than 2.75 to 1.00; or (iii) an annualized revenue received from custodians of at least $18.0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minimum calendar maturities of the Term Loan as of September 30, 2025, are as follows </w:t>
      </w:r>
      <w:r>
        <w:rPr>
          <w:rFonts w:ascii="Times New Roman;Times;serif" w:hAnsi="Times New Roman;Times;serif"/>
          <w:b/>
          <w:i/>
          <w:sz w:val="20"/>
        </w:rPr>
        <w:t>(in thousands)</w:t>
      </w:r>
      <w:r>
        <w:rPr>
          <w:rFonts w:ascii="Times New Roman;Times;serif" w:hAnsi="Times New Roman;Times;serif"/>
          <w:sz w:val="20"/>
        </w:rPr>
        <w:t>:</w:t>
      </w:r>
    </w:p>
    <w:tbl>
      <w:tblPr>
        <w:tblW w:w="1859" w:type="dxa"/>
        <w:jc w:val="left"/>
        <w:tblInd w:w="0" w:type="dxa"/>
        <w:tblLayout w:type="fixed"/>
        <w:tblCellMar>
          <w:top w:w="0" w:type="dxa"/>
          <w:left w:w="0" w:type="dxa"/>
          <w:bottom w:w="0" w:type="dxa"/>
          <w:right w:w="0" w:type="dxa"/>
        </w:tblCellMar>
      </w:tblPr>
      <w:tblGrid>
        <w:gridCol w:w="541"/>
        <w:gridCol w:w="326"/>
        <w:gridCol w:w="211"/>
        <w:gridCol w:w="78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43535" cy="175260"/>
                      <wp:effectExtent l="0" t="0" r="0" b="0"/>
                      <wp:wrapNone/>
                      <wp:docPr id="111" name="Frame11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95935" cy="175260"/>
                      <wp:effectExtent l="0" t="0" r="0" b="0"/>
                      <wp:wrapNone/>
                      <wp:docPr id="114" name="Frame1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10,150</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18,777</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3782" w:type="dxa"/>
        <w:jc w:val="left"/>
        <w:tblInd w:w="0" w:type="dxa"/>
        <w:tblLayout w:type="fixed"/>
        <w:tblCellMar>
          <w:top w:w="0" w:type="dxa"/>
          <w:left w:w="0" w:type="dxa"/>
          <w:bottom w:w="0" w:type="dxa"/>
          <w:right w:w="0" w:type="dxa"/>
        </w:tblCellMar>
      </w:tblPr>
      <w:tblGrid>
        <w:gridCol w:w="271"/>
        <w:gridCol w:w="351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7.</w:t>
            </w:r>
          </w:p>
        </w:tc>
        <w:tc>
          <w:tcPr>
            <w:tcW w:w="351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PROMISSORY NOTES – AFFILIATES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30, 2017, WMS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paid.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in connection with the acquisition of the PKSH Entities, the Company agreed to pay contingent consideration in the amount of $5.0 million to certain sellers. The conditions related to this contingency were met on November 30, 2018, and thus the notes had been issued to the sellers. These subordinated promissory notes had a maturity date of May 30, 2023, and accrued interest at a rate of 10% annually. The interest on these notes continued to accrue until such time as these notes were paid.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closing of the Business Combination, the Company paid approximately $3.4 million on these notes. In addition to the paydown, the noteholders (all of whom are stockholders and/or key employees) agreed to forgive the remaining accrued but unpaid interest of approximately $3.8 million and entered into new promissory notes in the principal amount of approximately $5.3 million in the aggregate. The amounts outstanding as of September 30, 2025 and December 31, 2024 are $5.3 million and $5.4 million, respectively. The amount outstanding as of December 31, 2024 includes accrued interest which was paid subsequently. The terms of these new promissory notes provide for maturity on May 15, 2027 and carries an interest rate of Prime </w:t>
      </w:r>
      <w:r>
        <w:rPr>
          <w:rFonts w:ascii="Times New Roman;Times;serif" w:hAnsi="Times New Roman;Times;serif"/>
          <w:b w:val="false"/>
          <w:i w:val="false"/>
          <w:caps w:val="false"/>
          <w:smallCaps w:val="false"/>
          <w:sz w:val="20"/>
        </w:rPr>
        <w:t>plus</w:t>
      </w:r>
      <w:r>
        <w:rPr>
          <w:rFonts w:ascii="Times New Roman;Times;serif" w:hAnsi="Times New Roman;Times;serif"/>
          <w:sz w:val="20"/>
        </w:rPr>
        <w:t xml:space="preserve"> 1.00%, but no less than 7.50% per annum. Related interest expense was approximately $0.4 million and $0.3 million for the nine months ended September 30, 2025 and 2024, respectively.</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78" w:name="_Hlk174582858"/>
      <w:bookmarkStart w:id="1379" w:name="_Hlk174582858"/>
      <w:bookmarkEnd w:id="1379"/>
    </w:p>
    <w:tbl>
      <w:tblPr>
        <w:tblW w:w="6167" w:type="dxa"/>
        <w:jc w:val="left"/>
        <w:tblInd w:w="0" w:type="dxa"/>
        <w:tblLayout w:type="fixed"/>
        <w:tblCellMar>
          <w:top w:w="0" w:type="dxa"/>
          <w:left w:w="0" w:type="dxa"/>
          <w:bottom w:w="0" w:type="dxa"/>
          <w:right w:w="0" w:type="dxa"/>
        </w:tblCellMar>
      </w:tblPr>
      <w:tblGrid>
        <w:gridCol w:w="271"/>
        <w:gridCol w:w="589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8.</w:t>
            </w:r>
          </w:p>
        </w:tc>
        <w:tc>
          <w:tcPr>
            <w:tcW w:w="589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SERIES A REDEEMABLE CONVERTIBLE PREFERRED STOCK</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15, 2024 (the “Funding Date”), in connection with the consummation of the Business Combination, Holdings and BMS entered into a Subscription Agreement with an investor for the purchase of 1,500,000 shares of Holdings’ Series A Redeemable Convertible Preferred Stock (the “</w:t>
      </w:r>
      <w:r>
        <w:rPr>
          <w:rFonts w:ascii="Times New Roman;Times;serif" w:hAnsi="Times New Roman;Times;serif"/>
          <w:b/>
          <w:i/>
          <w:sz w:val="20"/>
        </w:rPr>
        <w:t>Holdings Series A Stock</w:t>
      </w:r>
      <w:r>
        <w:rPr>
          <w:rFonts w:ascii="Times New Roman;Times;serif" w:hAnsi="Times New Roman;Times;serif"/>
          <w:sz w:val="20"/>
        </w:rPr>
        <w:t>”) in a private placement at $9.60 per share, for an aggregate purchase price of $14,400,000 (the “</w:t>
      </w:r>
      <w:r>
        <w:rPr>
          <w:rFonts w:ascii="Times New Roman;Times;serif" w:hAnsi="Times New Roman;Times;serif"/>
          <w:b/>
          <w:i/>
          <w:sz w:val="20"/>
        </w:rPr>
        <w:t>Series A PIPE</w:t>
      </w:r>
      <w:r>
        <w:rPr>
          <w:rFonts w:ascii="Times New Roman;Times;serif" w:hAnsi="Times New Roman;Times;serif"/>
          <w:sz w:val="20"/>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As of September 30, 2025, the Company accrued 50% of the dividend to be paid in cash in the approximate amount of $0.2 million and paid an in-kind dividend in the approximate amount of $0.2 million. As of December 31, 2024, the Company accrued 50% of the dividend to be paid in cash in the approximate amount of $0.2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157" w:type="dxa"/>
        <w:jc w:val="left"/>
        <w:tblInd w:w="0" w:type="dxa"/>
        <w:tblLayout w:type="fixed"/>
        <w:tblCellMar>
          <w:top w:w="0" w:type="dxa"/>
          <w:left w:w="0" w:type="dxa"/>
          <w:bottom w:w="0" w:type="dxa"/>
          <w:right w:w="0" w:type="dxa"/>
        </w:tblCellMar>
      </w:tblPr>
      <w:tblGrid>
        <w:gridCol w:w="271"/>
        <w:gridCol w:w="688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8.</w:t>
            </w:r>
          </w:p>
        </w:tc>
        <w:tc>
          <w:tcPr>
            <w:tcW w:w="688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SERIES A REDEEMABLE CONVERTIBLE PREFERRED STOCK </w:t>
            </w:r>
            <w:r>
              <w:rPr>
                <w:rFonts w:ascii="Times New Roman;Times;serif" w:hAnsi="Times New Roman;Times;serif"/>
                <w:b/>
                <w:i/>
                <w:sz w:val="20"/>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Holdings Series A Stock has liquidation preferences in the event of a voluntary or involuntary liquidation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greater of $12.50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first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$13.00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second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$15.00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third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$16.00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fourth anniversary of the Funding 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Holdings, at its option, may redeem the Series A Stock on any anniversary of the Funding date up to an including the fourth anniversary of the Funding date at the following redemption prices:</w:t>
      </w:r>
    </w:p>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$11.50</w:t>
            </w:r>
            <w:r>
              <w:rPr>
                <w:caps w:val="false"/>
                <w:smallCaps w:val="false"/>
              </w:rPr>
              <w:t xml:space="preserve"> </w:t>
            </w:r>
            <w:r>
              <w:rPr>
                <w:rFonts w:ascii="Times New Roman;Times;serif" w:hAnsi="Times New Roman;Times;serif"/>
                <w:b w:val="false"/>
                <w:i w:val="false"/>
                <w:caps w:val="false"/>
                <w:smallCaps w:val="false"/>
                <w:sz w:val="20"/>
              </w:rPr>
              <w:t>per share of Series A Stock on the first anniversary of the Funding Date;</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$13.00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second anniversary of the Funding Date;</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$15.00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third anniversary of the Funding Date;</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$16.00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fourth anniversary of the Funding Date;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Series A Stock have not previously been redeemed or converted, the Series A Stock will be redeemed by Holdings on the fourth anniversary of the Funding Date.</w:t>
      </w:r>
    </w:p>
    <w:p>
      <w:pPr>
        <w:pStyle w:val="TextBody"/>
        <w:bidi w:val="0"/>
        <w:spacing w:before="0" w:after="240"/>
        <w:ind w:left="0" w:right="0" w:hanging="0"/>
        <w:jc w:val="both"/>
        <w:rPr/>
      </w:pPr>
      <w:r>
        <w:rPr/>
        <w:t>​</w:t>
      </w:r>
    </w:p>
    <w:tbl>
      <w:tblPr>
        <w:tblW w:w="4727" w:type="dxa"/>
        <w:jc w:val="left"/>
        <w:tblInd w:w="0" w:type="dxa"/>
        <w:tblLayout w:type="fixed"/>
        <w:tblCellMar>
          <w:top w:w="0" w:type="dxa"/>
          <w:left w:w="0" w:type="dxa"/>
          <w:bottom w:w="0" w:type="dxa"/>
          <w:right w:w="0" w:type="dxa"/>
        </w:tblCellMar>
      </w:tblPr>
      <w:tblGrid>
        <w:gridCol w:w="271"/>
        <w:gridCol w:w="445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9.</w:t>
            </w:r>
          </w:p>
        </w:tc>
        <w:tc>
          <w:tcPr>
            <w:tcW w:w="44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SERIES B CONVERTIBLE PREFERRED STOCK</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4, 2024, the Company entered into a Subscription Agreement with an investor for the purchase of 150,000 shares of Holdings’ Series B Convertible Preferred Stock, par value $.0001 (the “</w:t>
      </w:r>
      <w:r>
        <w:rPr>
          <w:rFonts w:ascii="Times New Roman;Times;serif" w:hAnsi="Times New Roman;Times;serif"/>
          <w:b/>
          <w:i/>
          <w:sz w:val="20"/>
        </w:rPr>
        <w:t>Holdings Series B Stock</w:t>
      </w:r>
      <w:r>
        <w:rPr>
          <w:rFonts w:ascii="Times New Roman;Times;serif" w:hAnsi="Times New Roman;Times;serif"/>
          <w:sz w:val="20"/>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(A).80 multiplied by, (B) the volume weighted average price for the 20 trading days during the 30-day period immediately prior to such conversion, provided that in no event shall the denominator be less than $6.00 per share (the “Conversion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Holdings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September 30, 2025 and December 31, 2024, included in accounts payable, accrued expenses and other liabilities on the accompanying condensed consolidated statement of financial condition is an accrued dividend in the amount of $0.03 million that was paid subsequent to September 30, 2025 and December 31,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sz w:val="20"/>
        </w:rPr>
      </w:pPr>
      <w:bookmarkStart w:id="1380" w:name="Tc_JTTCMNfp-0Kx79Ah-o0now_6_11"/>
      <w:bookmarkStart w:id="1381" w:name="Tc_oMEmUkaXXEaPBVhkfKGLNw_6_4"/>
      <w:bookmarkStart w:id="1382" w:name="Tc_UNqLsoTI906D21zW30NW6g_5_11"/>
      <w:bookmarkStart w:id="1383" w:name="Tc_sGLogCCMik2BkEniClJu0A_5_9"/>
      <w:bookmarkStart w:id="1384" w:name="Tc_NXw2HyTF2Eyi6WQmv2jpnQ_5_7"/>
      <w:bookmarkStart w:id="1385" w:name="Tc_jlAxwN0BlUeLeb3d7s9isg_5_4"/>
      <w:bookmarkStart w:id="1386" w:name="Tc_mEhlFW_9Fk-3W6YApzNqFg_5_2"/>
      <w:bookmarkStart w:id="1387" w:name="Tc_neBLxT94eUWfHbaYIapqnw_5_0"/>
      <w:bookmarkStart w:id="1388" w:name="Tc_bDIfV7_KzEqZd9fT2Z_nJg_4_11"/>
      <w:bookmarkStart w:id="1389" w:name="Tc_nn0NKiR4w0KP6AwU8kQctg_4_9"/>
      <w:bookmarkStart w:id="1390" w:name="Tc_bIZwFaKacUayieVYIAB45A_4_7"/>
      <w:bookmarkStart w:id="1391" w:name="Tc_4ki-l9LD5kyPlAZkqaQ7Og_4_4"/>
      <w:bookmarkStart w:id="1392" w:name="Tc_1WTAkF_Rp0OqCzHOZJWHTQ_4_2"/>
      <w:bookmarkStart w:id="1393" w:name="Tc_I2nt1EDEfEiaT9k_LYVjgA_3_11"/>
      <w:bookmarkStart w:id="1394" w:name="Tc_FAyNUQSOdEqlkuKhTu7fMw_3_7"/>
      <w:bookmarkStart w:id="1395" w:name="Tc_CGhQJ-qVtkO3coDaT1ElRA_3_4"/>
      <w:bookmarkStart w:id="1396" w:name="Tc_81-iLcBdSkerlwN7HhD8Lw_2_11"/>
      <w:bookmarkStart w:id="1397" w:name="Tc_S6Wl6am3YEiN5OGu2LaNsA_2_7"/>
      <w:bookmarkStart w:id="1398" w:name="Tc_cWSwDdg7sU21cEO9EII_YA_2_4"/>
      <w:bookmarkStart w:id="1399" w:name="Tc_Q4XMfKEGOUep3siyZ0TlDA_1_11"/>
      <w:bookmarkStart w:id="1400" w:name="Tc_xiXo82DkM0q3T34TNRVUDQ_1_4"/>
      <w:bookmarkStart w:id="1401" w:name="_5bc6699b_3446_4af3_95bf_1b37b9eb9597"/>
      <w:bookmarkStart w:id="1402" w:name="Tc_jU_Vt__IFEqPXUGsfr4QuQ_9_0"/>
      <w:bookmarkStart w:id="1403" w:name="Tc_Hae7ufzk6kWAG_UuUcRuYg_8_0"/>
      <w:bookmarkStart w:id="1404" w:name="Tc_rdjZQ0thE0aiA7zewsg46Q_7_0"/>
      <w:bookmarkStart w:id="1405" w:name="Tc_LOIxqI4QWUafhKh4EqT5rQ_6_2"/>
      <w:bookmarkStart w:id="1406" w:name="Tc_z2puDIvZR0WhCEYNpM6xqA_6_0"/>
      <w:bookmarkStart w:id="1407" w:name="Tc_Trz585UB0kuIEz58lusp4Q_5_2"/>
      <w:bookmarkStart w:id="1408" w:name="Tc_znTJ2-CNoU6LpS3dWzs0pw_5_0"/>
      <w:bookmarkStart w:id="1409" w:name="Tc_mrE8UO-jMkK0NMhn43PFWg_4_0"/>
      <w:bookmarkStart w:id="1410" w:name="Tc_9Apzf5osBEKWiE97jMXmKA_3_2"/>
      <w:bookmarkStart w:id="1411" w:name="Tc_G8DOx3xzSUC7AQm6Vi-Y4g_3_0"/>
      <w:bookmarkStart w:id="1412" w:name="Tc_30HJiyP950ynX5xOjQxR1Q_2_2"/>
      <w:bookmarkStart w:id="1413" w:name="Tc_Jx6bl4C1u0i4cNR8jhSg8Q_1_2"/>
      <w:bookmarkStart w:id="1414" w:name="_b4e887e6_7f3e_4cc5_bc05_2e377483b29c"/>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r>
        <w:rPr>
          <w:rFonts w:ascii="Times New Roman;Times;serif" w:hAnsi="Times New Roman;Times;serif"/>
          <w:b/>
          <w:i w:val="false"/>
          <w:caps w:val="false"/>
          <w:smallCaps w:val="false"/>
          <w:sz w:val="20"/>
        </w:rPr>
        <w:t>10.</w:t>
      </w:r>
      <w:r>
        <w:rPr>
          <w:rFonts w:ascii="Times New Roman;Times;serif" w:hAnsi="Times New Roman;Times;serif"/>
          <w:b/>
          <w:sz w:val="20"/>
        </w:rPr>
        <w:t>SHARE-BASED COMPENSATION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Binah Capital Group, Inc. 2024 Equity Incentive Plan (the “Plan”) was established and effective March 15, 2024. The purpose of the Plan is to advance the interests of the Company and its stockholders by providing an incentive to attract, retain and reward persons performing services for the Company and by motivating such persons to contribute to the growth and profitability of the Company. The Plan seeks to achieve this purpose by providing for Awards in the form of Options, Stock Appreciation Rights, Restricted Stock Awards, Restricted Stock Units, Performance Shares, Performance Units, Cash-Based Awards and Other Stock-Based Awards.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Subject to adjustment as provided in the Plan, the maximum aggregate number of shares of Stock that may be issued under the Plan shall be equal to 1,600,000 shares (the “</w:t>
      </w:r>
      <w:r>
        <w:rPr>
          <w:rFonts w:ascii="Times New Roman;Times;serif" w:hAnsi="Times New Roman;Times;serif"/>
          <w:b/>
          <w:i/>
          <w:sz w:val="20"/>
        </w:rPr>
        <w:t>Base Reserve</w:t>
      </w:r>
      <w:r>
        <w:rPr>
          <w:rFonts w:ascii="Times New Roman;Times;serif" w:hAnsi="Times New Roman;Times;serif"/>
          <w:sz w:val="20"/>
        </w:rPr>
        <w:t>”) plus an annual increase, effective as of the first day of the Company’s fiscal year beginning in the year following the fiscal year in which the Company’s stockholders approved the Plan and the first day of each subsequent fiscal year through and including the first day of the Company’s fiscal year beginning on the tenth (10th) anniversary of the commencement of such annual increase, equal to the lesser of (i) ten percent (10%)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stock option activity as of and for the nine months ended September 30, 2025:</w:t>
      </w:r>
    </w:p>
    <w:tbl>
      <w:tblPr>
        <w:tblW w:w="5713" w:type="dxa"/>
        <w:jc w:val="left"/>
        <w:tblInd w:w="0" w:type="dxa"/>
        <w:tblLayout w:type="fixed"/>
        <w:tblCellMar>
          <w:top w:w="0" w:type="dxa"/>
          <w:left w:w="0" w:type="dxa"/>
          <w:bottom w:w="0" w:type="dxa"/>
          <w:right w:w="0" w:type="dxa"/>
        </w:tblCellMar>
      </w:tblPr>
      <w:tblGrid>
        <w:gridCol w:w="4441"/>
        <w:gridCol w:w="386"/>
        <w:gridCol w:w="886"/>
      </w:tblGrid>
      <w:tr>
        <w:trPr/>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820035" cy="175260"/>
                      <wp:effectExtent l="0" t="0" r="0" b="0"/>
                      <wp:wrapNone/>
                      <wp:docPr id="115" name="Frame115"/>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45110" cy="175260"/>
                      <wp:effectExtent l="0" t="0" r="0" b="0"/>
                      <wp:wrapNone/>
                      <wp:docPr id="116" name="Frame11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62610" cy="175260"/>
                      <wp:effectExtent l="0" t="0" r="0" b="0"/>
                      <wp:wrapNone/>
                      <wp:docPr id="117" name="Frame11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w:t>
            </w:r>
          </w:p>
        </w:tc>
      </w:tr>
      <w:tr>
        <w:trPr/>
        <w:tc>
          <w:tcPr>
            <w:tcW w:w="444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January 1, 2025</w:t>
            </w:r>
          </w:p>
        </w:tc>
        <w:tc>
          <w:tcPr>
            <w:tcW w:w="38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8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872,500</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8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8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September 30, 2025</w:t>
            </w:r>
          </w:p>
        </w:tc>
        <w:tc>
          <w:tcPr>
            <w:tcW w:w="38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872,500</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w:t>
            </w:r>
          </w:p>
        </w:tc>
        <w:tc>
          <w:tcPr>
            <w:tcW w:w="38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425,000</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and expected to vest September 30, 2025</w:t>
            </w:r>
          </w:p>
        </w:tc>
        <w:tc>
          <w:tcPr>
            <w:tcW w:w="38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425,000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information about the outstanding options as of September 30, 2025:</w:t>
      </w:r>
    </w:p>
    <w:tbl>
      <w:tblPr>
        <w:tblW w:w="7501" w:type="dxa"/>
        <w:jc w:val="left"/>
        <w:tblInd w:w="0" w:type="dxa"/>
        <w:tblLayout w:type="fixed"/>
        <w:tblCellMar>
          <w:top w:w="0" w:type="dxa"/>
          <w:left w:w="0" w:type="dxa"/>
          <w:bottom w:w="0" w:type="dxa"/>
          <w:right w:w="0" w:type="dxa"/>
        </w:tblCellMar>
      </w:tblPr>
      <w:tblGrid>
        <w:gridCol w:w="1141"/>
        <w:gridCol w:w="326"/>
        <w:gridCol w:w="886"/>
        <w:gridCol w:w="326"/>
        <w:gridCol w:w="313"/>
        <w:gridCol w:w="693"/>
        <w:gridCol w:w="326"/>
        <w:gridCol w:w="976"/>
        <w:gridCol w:w="326"/>
        <w:gridCol w:w="886"/>
        <w:gridCol w:w="326"/>
        <w:gridCol w:w="263"/>
        <w:gridCol w:w="713"/>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24535" cy="175260"/>
                      <wp:effectExtent l="0" t="0" r="0" b="0"/>
                      <wp:wrapNone/>
                      <wp:docPr id="118" name="Frame11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62610" cy="175260"/>
                      <wp:effectExtent l="0" t="0" r="0" b="0"/>
                      <wp:wrapNone/>
                      <wp:docPr id="120" name="Frame12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98755" cy="175260"/>
                      <wp:effectExtent l="0" t="0" r="0" b="0"/>
                      <wp:wrapNone/>
                      <wp:docPr id="122" name="Frame122"/>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40055" cy="175260"/>
                      <wp:effectExtent l="0" t="0" r="0" b="0"/>
                      <wp:wrapNone/>
                      <wp:docPr id="123" name="Frame123"/>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19760" cy="175260"/>
                      <wp:effectExtent l="0" t="0" r="0" b="0"/>
                      <wp:wrapNone/>
                      <wp:docPr id="125" name="Frame12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62610" cy="175260"/>
                      <wp:effectExtent l="0" t="0" r="0" b="0"/>
                      <wp:wrapNone/>
                      <wp:docPr id="127" name="Frame12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67005" cy="175260"/>
                      <wp:effectExtent l="0" t="0" r="0" b="0"/>
                      <wp:wrapNone/>
                      <wp:docPr id="129" name="Frame12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52755" cy="175260"/>
                      <wp:effectExtent l="0" t="0" r="0" b="0"/>
                      <wp:wrapNone/>
                      <wp:docPr id="130" name="Frame130"/>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r>
      <w:tr>
        <w:trPr/>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11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$2.04 </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872,500</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425,000</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2.04</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415" w:name="Tc_W7Sh5RpjH02W3EdniFafBg_11_10"/>
      <w:bookmarkStart w:id="1416" w:name="Tc_duuMW2G2SUOQ-INBfWdMrw_11_9"/>
      <w:bookmarkStart w:id="1417" w:name="Tc_0fqGw9fHN0mWv6BxokaHYQ_11_7"/>
      <w:bookmarkStart w:id="1418" w:name="Tc_OjegSX9DI0aBUeSzj3FyRA_11_4"/>
      <w:bookmarkStart w:id="1419" w:name="Tc_Lvu0mm_kFEuvYjm5992NYQ_11_0"/>
      <w:bookmarkStart w:id="1420" w:name="Tc_G4wP6063ekuWQVmU9Z7W7w_10_9"/>
      <w:bookmarkStart w:id="1421" w:name="Tc_EWFvtgH6CEaatkm9rycm8Q_10_4"/>
      <w:bookmarkStart w:id="1422" w:name="Tc_8PMuvB042UWqiOXnYeBiDg_10_0"/>
      <w:bookmarkStart w:id="1423" w:name="Tc_QWvLwiOtuEKURCbNBrs6RA_9_10"/>
      <w:bookmarkStart w:id="1424" w:name="Tc_47g_mhooTE-oKpk6ICd1_A_9_9"/>
      <w:bookmarkStart w:id="1425" w:name="Tc_VxRJxMjEOE-mjJwpH9SvEQ_9_7"/>
      <w:bookmarkStart w:id="1426" w:name="Tc_3f5KrfIhaEmx6r27sntMng_9_2"/>
      <w:bookmarkStart w:id="1427" w:name="Tc_yilvo5Z7XE6sRnDSeRg-yw_9_0"/>
      <w:bookmarkStart w:id="1428" w:name="Tc_K4JZOMrGmEuNH6wp6HGH6Q_8_10"/>
      <w:bookmarkStart w:id="1429" w:name="Tc_haYehuFPXUWNYQOjUkDt5w_8_9"/>
      <w:bookmarkStart w:id="1430" w:name="Tc_aRy2KbOnukmV6b0aazizDg_8_7"/>
      <w:bookmarkStart w:id="1431" w:name="Tc_ZBsQQVpq7EGJ5CDMMQnFVQ_8_4"/>
      <w:bookmarkStart w:id="1432" w:name="Tc_sWw3rJI-BE6mmCOr7pOrCA_8_0"/>
      <w:bookmarkStart w:id="1433" w:name="Tc_u-k--sF3MEWj2KzqReTDeg_7_9"/>
      <w:bookmarkStart w:id="1434" w:name="Tc_gD8BvFpIVEmgEcFz8P_DPA_7_4"/>
      <w:bookmarkStart w:id="1435" w:name="Tc_sBeneM5GX0GZYx7Wmqpmzw_7_0"/>
      <w:bookmarkStart w:id="1436" w:name="Tc_Rcb2zbj3oU-nI89vJDEijw_6_10"/>
      <w:bookmarkStart w:id="1437" w:name="Tc_aFTn8bhpkEmz-LqqtgHPBQ_6_7"/>
      <w:bookmarkStart w:id="1438" w:name="Tc_CDxl5uHX_UudwfFTH0SIVg_6_5"/>
      <w:bookmarkStart w:id="1439" w:name="Tc_3a52SDcqPEKFFC_XOC3TyA_6_2"/>
      <w:bookmarkStart w:id="1440" w:name="Tc_VGNReftrxkOpUNe-A_Dytw_6_0"/>
      <w:bookmarkStart w:id="1441" w:name="Tc_d07ClrC1s0ecD1GJ9FuA5Q_5_9"/>
      <w:bookmarkStart w:id="1442" w:name="Tc_IyhOiFpdF0GjWO23N1lqxA_5_7"/>
      <w:bookmarkStart w:id="1443" w:name="Tc_08JQhqBS10yb7SEvVO3yOA_5_4"/>
      <w:bookmarkStart w:id="1444" w:name="Tc_SZfqh_QF2U2Zgrmi42kuRA_5_2"/>
      <w:bookmarkStart w:id="1445" w:name="Tc_GMdYC0Z9tEKX0etBQejUqw_4_9"/>
      <w:bookmarkStart w:id="1446" w:name="Tc_w8gljF4KT0y75HLI_DyBMQ_4_7"/>
      <w:bookmarkStart w:id="1447" w:name="Tc_D7gICkimmk2IZp3Gddtvqw_4_4"/>
      <w:bookmarkStart w:id="1448" w:name="Tc_DAIF-cBvjEKHR_Uk0IEHfg_4_2"/>
      <w:bookmarkStart w:id="1449" w:name="Tc_Z_RGTA6m0UC6u9a47gIP6g_3_9"/>
      <w:bookmarkStart w:id="1450" w:name="Tc_B30cI1OSdE6E-HPqUPuSIQ_3_4"/>
      <w:bookmarkStart w:id="1451" w:name="Tc_aRzX9xFFqUibQ1GOuuyJKA_2_9"/>
      <w:bookmarkStart w:id="1452" w:name="Tc_bISI_as3nkaScgZVJ72MxA_2_4"/>
      <w:bookmarkStart w:id="1453" w:name="Tc_yAEeef24pkiveAqZYot1jw_1_7"/>
      <w:bookmarkStart w:id="1454" w:name="Tc_rg_CvzEAn0Cs8XQMwG8PbA_1_2"/>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r>
        <w:rPr>
          <w:rFonts w:ascii="Times New Roman;Times;serif" w:hAnsi="Times New Roman;Times;serif"/>
          <w:b/>
          <w:i w:val="false"/>
          <w:caps w:val="false"/>
          <w:smallCaps w:val="false"/>
          <w:sz w:val="20"/>
        </w:rPr>
        <w:t>10.</w:t>
      </w:r>
      <w:r>
        <w:rPr>
          <w:rFonts w:ascii="Times New Roman;Times;serif" w:hAnsi="Times New Roman;Times;serif"/>
          <w:b/>
          <w:sz w:val="20"/>
        </w:rPr>
        <w:t xml:space="preserve">SHARE-BASED COMPENSATION </w:t>
      </w:r>
      <w:r>
        <w:rPr>
          <w:rFonts w:ascii="Times New Roman;Times;serif" w:hAnsi="Times New Roman;Times;serif"/>
          <w:b/>
          <w:i/>
          <w:sz w:val="22"/>
        </w:rPr>
        <w:t>(continued)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Restricted Stock and Stock Units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summarizes the Company’s activity in its restricted stock awards and stock units as of and for the nine months ended September 30, 2025:</w:t>
      </w:r>
    </w:p>
    <w:p>
      <w:pPr>
        <w:pStyle w:val="TextBody"/>
        <w:bidi w:val="0"/>
        <w:spacing w:before="0" w:after="0"/>
        <w:ind w:left="0" w:right="0" w:hanging="0"/>
        <w:jc w:val="left"/>
        <w:rPr/>
      </w:pPr>
      <w:r>
        <w:rPr/>
        <w:t>​</w:t>
      </w:r>
    </w:p>
    <w:tbl>
      <w:tblPr>
        <w:tblW w:w="8254" w:type="dxa"/>
        <w:jc w:val="left"/>
        <w:tblInd w:w="0" w:type="dxa"/>
        <w:tblLayout w:type="fixed"/>
        <w:tblCellMar>
          <w:top w:w="0" w:type="dxa"/>
          <w:left w:w="0" w:type="dxa"/>
          <w:bottom w:w="0" w:type="dxa"/>
          <w:right w:w="0" w:type="dxa"/>
        </w:tblCellMar>
      </w:tblPr>
      <w:tblGrid>
        <w:gridCol w:w="3241"/>
        <w:gridCol w:w="326"/>
        <w:gridCol w:w="886"/>
        <w:gridCol w:w="326"/>
        <w:gridCol w:w="293"/>
        <w:gridCol w:w="653"/>
        <w:gridCol w:w="326"/>
        <w:gridCol w:w="886"/>
        <w:gridCol w:w="326"/>
        <w:gridCol w:w="288"/>
        <w:gridCol w:w="703"/>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58035" cy="175260"/>
                      <wp:effectExtent l="0" t="0" r="0" b="0"/>
                      <wp:wrapNone/>
                      <wp:docPr id="131" name="Frame131"/>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62610" cy="175260"/>
                      <wp:effectExtent l="0" t="0" r="0" b="0"/>
                      <wp:wrapNone/>
                      <wp:docPr id="133" name="Frame13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86055" cy="175260"/>
                      <wp:effectExtent l="0" t="0" r="0" b="0"/>
                      <wp:wrapNone/>
                      <wp:docPr id="135" name="Frame135"/>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14655" cy="175260"/>
                      <wp:effectExtent l="0" t="0" r="0" b="0"/>
                      <wp:wrapNone/>
                      <wp:docPr id="136" name="Frame136"/>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62610" cy="175260"/>
                      <wp:effectExtent l="0" t="0" r="0" b="0"/>
                      <wp:wrapNone/>
                      <wp:docPr id="138" name="Frame13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82880" cy="175260"/>
                      <wp:effectExtent l="0" t="0" r="0" b="0"/>
                      <wp:wrapNone/>
                      <wp:docPr id="140" name="Frame140"/>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46405" cy="175260"/>
                      <wp:effectExtent l="0" t="0" r="0" b="0"/>
                      <wp:wrapNone/>
                      <wp:docPr id="141" name="Frame141"/>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58"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Stock Awards</w:t>
            </w:r>
          </w:p>
        </w:tc>
        <w:tc>
          <w:tcPr>
            <w:tcW w:w="326" w:type="dxa"/>
            <w:tcBorders/>
            <w:vAlign w:val="center"/>
          </w:tcPr>
          <w:p>
            <w:pPr>
              <w:pStyle w:val="TableContents"/>
              <w:bidi w:val="0"/>
              <w:spacing w:before="0" w:after="1"/>
              <w:ind w:left="0" w:right="0" w:hanging="0"/>
              <w:jc w:val="center"/>
              <w:rPr/>
            </w:pPr>
            <w:r>
              <w:rPr/>
              <w:t>    </w:t>
            </w:r>
          </w:p>
        </w:tc>
        <w:tc>
          <w:tcPr>
            <w:tcW w:w="220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Stock Units</w: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January 1, 2025</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93"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88"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107,893</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107,893</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1"/>
              <w:ind w:left="0" w:right="0" w:hanging="0"/>
              <w:jc w:val="righ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vAlign w:val="center"/>
          </w:tcPr>
          <w:p>
            <w:pPr>
              <w:pStyle w:val="TableContents"/>
              <w:bidi w:val="0"/>
              <w:spacing w:before="0" w:after="1"/>
              <w:ind w:left="0" w:right="0" w:hanging="0"/>
              <w:jc w:val="right"/>
              <w:rPr/>
            </w:pPr>
            <w:r>
              <w:rPr/>
              <w:t>—</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107,893</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to vest - September 30, 2025</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107,893</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grants restricted stock awards and restricted stock units to its employees and officers. Restricted stock awards and stock units must vest or are subject to forfeiture; however restricted stock awards are included in shares outstanding upon grant and have the same dividend and voting rights as the Company’s common stock. The Company recognized $0.2 million and $0.5 million of share-based compensation expense related to the vesting of the restricted stock awards and stock options during the three and nine months ended September 30, 2025. As of September 30, 2025, total unrecognized cost for restricted stock units and stock options was $1.2 million, which is expected to be recognized over the remaining period of 2.25 years.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55" w:name="_f38d9c17_7287_4204_9ad2_3736e1e7e7fb_3"/>
      <w:bookmarkStart w:id="1456" w:name="_f38d9c17_7287_4204_9ad2_3736e1e7e7fb_2"/>
      <w:bookmarkStart w:id="1457" w:name="_f38d9c17_7287_4204_9ad2_3736e1e7e7fb"/>
      <w:bookmarkStart w:id="1458" w:name="Tc_glupUx5GC06OXXSAKzWwLg_2_0"/>
      <w:bookmarkStart w:id="1459" w:name="Tc_QC_0vW5zMU64w83oQQvYvw_1_2"/>
      <w:bookmarkStart w:id="1460" w:name="Tc_z0NCoJoGUEOU7ANxyi4NyQ_1_0"/>
      <w:bookmarkStart w:id="1461" w:name="_de29ba4b_6ef2_4ebf_a64c_745510ca47f4"/>
      <w:bookmarkStart w:id="1462" w:name="_f38d9c17_7287_4204_9ad2_3736e1e7e7fb_3"/>
      <w:bookmarkStart w:id="1463" w:name="_f38d9c17_7287_4204_9ad2_3736e1e7e7fb_2"/>
      <w:bookmarkStart w:id="1464" w:name="_f38d9c17_7287_4204_9ad2_3736e1e7e7fb"/>
      <w:bookmarkStart w:id="1465" w:name="Tc_glupUx5GC06OXXSAKzWwLg_2_0"/>
      <w:bookmarkStart w:id="1466" w:name="Tc_QC_0vW5zMU64w83oQQvYvw_1_2"/>
      <w:bookmarkStart w:id="1467" w:name="Tc_z0NCoJoGUEOU7ANxyi4NyQ_1_0"/>
      <w:bookmarkStart w:id="1468" w:name="_de29ba4b_6ef2_4ebf_a64c_745510ca47f4"/>
      <w:bookmarkEnd w:id="1462"/>
      <w:bookmarkEnd w:id="1463"/>
      <w:bookmarkEnd w:id="1464"/>
      <w:bookmarkEnd w:id="1465"/>
      <w:bookmarkEnd w:id="1466"/>
      <w:bookmarkEnd w:id="1467"/>
      <w:bookmarkEnd w:id="1468"/>
    </w:p>
    <w:tbl>
      <w:tblPr>
        <w:tblW w:w="1637" w:type="dxa"/>
        <w:jc w:val="left"/>
        <w:tblInd w:w="0" w:type="dxa"/>
        <w:tblLayout w:type="fixed"/>
        <w:tblCellMar>
          <w:top w:w="0" w:type="dxa"/>
          <w:left w:w="0" w:type="dxa"/>
          <w:bottom w:w="0" w:type="dxa"/>
          <w:right w:w="0" w:type="dxa"/>
        </w:tblCellMar>
      </w:tblPr>
      <w:tblGrid>
        <w:gridCol w:w="376"/>
        <w:gridCol w:w="1261"/>
      </w:tblGrid>
      <w:tr>
        <w:trPr/>
        <w:tc>
          <w:tcPr>
            <w:tcW w:w="3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11.</w:t>
            </w:r>
          </w:p>
        </w:tc>
        <w:tc>
          <w:tcPr>
            <w:tcW w:w="126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WARRANTS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the warrants outstanding as of September 30, 2025 and December 31, 2024:</w:t>
      </w:r>
    </w:p>
    <w:tbl>
      <w:tblPr>
        <w:tblW w:w="3448" w:type="dxa"/>
        <w:jc w:val="left"/>
        <w:tblInd w:w="0" w:type="dxa"/>
        <w:tblLayout w:type="fixed"/>
        <w:tblCellMar>
          <w:top w:w="0" w:type="dxa"/>
          <w:left w:w="0" w:type="dxa"/>
          <w:bottom w:w="0" w:type="dxa"/>
          <w:right w:w="0" w:type="dxa"/>
        </w:tblCellMar>
      </w:tblPr>
      <w:tblGrid>
        <w:gridCol w:w="1441"/>
        <w:gridCol w:w="326"/>
        <w:gridCol w:w="1681"/>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915035" cy="175260"/>
                      <wp:effectExtent l="0" t="0" r="0" b="0"/>
                      <wp:wrapNone/>
                      <wp:docPr id="142" name="Frame142"/>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067435" cy="175260"/>
                      <wp:effectExtent l="0" t="0" r="0" b="0"/>
                      <wp:wrapNone/>
                      <wp:docPr id="144" name="Frame144"/>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Class of Warrants</w:t>
            </w:r>
          </w:p>
        </w:tc>
        <w:tc>
          <w:tcPr>
            <w:tcW w:w="326" w:type="dxa"/>
            <w:tcBorders/>
            <w:vAlign w:val="center"/>
          </w:tcPr>
          <w:p>
            <w:pPr>
              <w:pStyle w:val="TableContents"/>
              <w:bidi w:val="0"/>
              <w:spacing w:before="0" w:after="1"/>
              <w:ind w:left="0" w:right="0" w:hanging="0"/>
              <w:jc w:val="left"/>
              <w:rPr/>
            </w:pPr>
            <w:r>
              <w:rPr/>
              <w:t>    </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Outstanding</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26" w:type="dxa"/>
            <w:tcBorders/>
            <w:shd w:fill="CCEEFF" w:val="clear"/>
            <w:vAlign w:val="center"/>
          </w:tcPr>
          <w:p>
            <w:pPr>
              <w:pStyle w:val="TableContents"/>
              <w:bidi w:val="0"/>
              <w:spacing w:before="0" w:after="1"/>
              <w:ind w:left="0" w:right="0" w:hanging="0"/>
              <w:jc w:val="left"/>
              <w:rPr/>
            </w:pPr>
            <w:r>
              <w:rPr/>
              <w:t> </w:t>
            </w:r>
          </w:p>
        </w:tc>
        <w:tc>
          <w:tcPr>
            <w:tcW w:w="168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15,147,958</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Each whole warrant entitles the registered holder to purchase one share of Class A common stock at a price of $11.50 per share. A holder may exercise its warrants only for a whole number of shares of Class A common stock. No fractional warrants will be issued upon separation of the units and only whole warrants will trade. The Company may redeem the warrants at a price of $0.01 per share if the closing price of the Company’s Class A common stock equals or exceeds $18.00 per share for any 20 trading days within a 30-trading day period. The warrants will expire five years after the Closing Date or earlier upon redemption or liquidation.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warrants are classified as derivative liabilities under ASC Topic 480 or ASC Topic 815. At September 30, 2025 and December 31, 2024, the fair value of the warrant liabilities is approximately $0.6 million and $1.0 million, respectively and is included in accounts payable, accrued expenses and other liabilities on the accompanying condensed consolidated statements of financial condition. For the nine months ended September 30, 2025 and 2024, included in other expenses on the condensed consolidated statement of operations is unrealized gain on the warrants in the amount of approximately $0.4 million and $1.1 million, respectively.</w:t>
      </w:r>
    </w:p>
    <w:p>
      <w:pPr>
        <w:pStyle w:val="TextBody"/>
        <w:bidi w:val="0"/>
        <w:spacing w:before="0" w:after="240"/>
        <w:ind w:left="0" w:right="0" w:hanging="0"/>
        <w:jc w:val="both"/>
        <w:rPr/>
      </w:pPr>
      <w:r>
        <w:rPr/>
        <w:t>​</w:t>
      </w:r>
    </w:p>
    <w:tbl>
      <w:tblPr>
        <w:tblW w:w="2027" w:type="dxa"/>
        <w:jc w:val="left"/>
        <w:tblInd w:w="0" w:type="dxa"/>
        <w:tblLayout w:type="fixed"/>
        <w:tblCellMar>
          <w:top w:w="0" w:type="dxa"/>
          <w:left w:w="0" w:type="dxa"/>
          <w:bottom w:w="0" w:type="dxa"/>
          <w:right w:w="0" w:type="dxa"/>
        </w:tblCellMar>
      </w:tblPr>
      <w:tblGrid>
        <w:gridCol w:w="376"/>
        <w:gridCol w:w="165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12.</w:t>
            </w:r>
          </w:p>
        </w:tc>
        <w:tc>
          <w:tcPr>
            <w:tcW w:w="165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Prior to the closing the Business Combination, BMS was classified as a partnership for income tax purposes and is therefore not subject to federal, and certain state, and local income taxes. Subsequent to the closing of the Business Combination, BMS elected to be taxed as a corporation and therefore subject to federal, state and local income taxes. Binah Capital Group, Inc. and Binah Capital Corp are also corporations and subject to federal, state and local income taxes. PKSH elected to be taxed as a corporation. The PKSH Entities and WEG are taxable entities and are subject to federal, state, and local income taxes.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effective tax rate was approximately 22% and (26)% for the nine months ended September 30, 2025 and 2024, respectively. The effective income tax rate for the periods ended September 30, 2025 and 2024 differed significantly from the statutory rate primarily due to transaction costs that were incurred as a result of the Reverse Recapitalization, warrant revaluations, and other permanent differences. The tax provision is related to the activities of the taxable entities including Binah Capital Group, Inc., BMS, PKSH Entities, Cabot Entities and WEG.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469" w:name="Tc_t-hfbn0f60-jhLX69IkDzA_8_8"/>
      <w:bookmarkStart w:id="1470" w:name="Tc_mM0aPfBQakO4spr5f2tX_Q_8_6"/>
      <w:bookmarkStart w:id="1471" w:name="Tc_XPGZ6s41KEqtWE1FSGsuUw_8_0"/>
      <w:bookmarkStart w:id="1472" w:name="Tc_vkbI6zGNwU6ZSibY0rmEZw_7_8"/>
      <w:bookmarkStart w:id="1473" w:name="Tc_ro1bJh1RrE6svjvnrPXMFA_7_6"/>
      <w:bookmarkStart w:id="1474" w:name="Tc_MHU-0UbuLE2MlEMNdkU8Qw_7_0"/>
      <w:bookmarkStart w:id="1475" w:name="Tc_iKbVExyIukahnEE3v8h3-w_6_0"/>
      <w:bookmarkStart w:id="1476" w:name="Tc_lM7FeBZfLESKlLDot6tTjA_5_0"/>
      <w:bookmarkStart w:id="1477" w:name="Tc_FX5cntWfE0C_Sje0FxwGig_4_0"/>
      <w:bookmarkStart w:id="1478" w:name="Tc_aZTgUYP9TUGjm7Yy3ebOxg_3_8"/>
      <w:bookmarkStart w:id="1479" w:name="Tc_NSDdoqN3skOpaejbbh5hkQ_3_6"/>
      <w:bookmarkStart w:id="1480" w:name="Tc_G_V4QFb0GkCMb-ZrIP2J-Q_3_4"/>
      <w:bookmarkStart w:id="1481" w:name="Tc_YJ8OnOpKQkuHv2F5-F8c6w_3_2"/>
      <w:bookmarkStart w:id="1482" w:name="Tc_Tx1nzncbUkat9Oi9q0uGsQ_2_8"/>
      <w:bookmarkStart w:id="1483" w:name="Tc_81UfLy_X-U6OF3ErMqcSrA_2_6"/>
      <w:bookmarkStart w:id="1484" w:name="Tc_fmY73hRf2kSI3PDx5wQ0ZQ_2_4"/>
      <w:bookmarkStart w:id="1485" w:name="Tc_0tuhrkey_UeZ7DOqTs9GBw_2_2"/>
      <w:bookmarkStart w:id="1486" w:name="Tc_wCVI1O9Gl0uq863l3fB7Ng_1_8"/>
      <w:bookmarkStart w:id="1487" w:name="Tc_oxps2fwr90KnFyW4myhBoA_1_6"/>
      <w:bookmarkStart w:id="1488" w:name="Tc_-DeS9sUCa06fqya6s3hAwQ_1_4"/>
      <w:bookmarkStart w:id="1489" w:name="Tc_WEH35zpzt0iZqd2Re0k8xw_1_2"/>
      <w:bookmarkStart w:id="1490" w:name="_8c2bb219_2220_4c0d_a46f_18e997eeca5d"/>
      <w:bookmarkStart w:id="1491" w:name="Tc_LrJXEm595Ua-U5uXjCim5g_14_11"/>
      <w:bookmarkStart w:id="1492" w:name="Tc_EpcoeRDlD0ap6KgHxibhLA_14_8"/>
      <w:bookmarkStart w:id="1493" w:name="Tc_gU0Kv3NKqUeTWgxh2ZjvQw_14_5"/>
      <w:bookmarkStart w:id="1494" w:name="Tc_tSOhNmfmKE-EJAAxo8svHw_14_2"/>
      <w:bookmarkStart w:id="1495" w:name="Tc_nZKMqorsNUOA5fK3btR2gw_14_0"/>
      <w:bookmarkStart w:id="1496" w:name="Tc_NMv22ZbK2Uqav4UFuJTV0w_13_11"/>
      <w:bookmarkStart w:id="1497" w:name="Tc_FfdWCHX0p0Wc_7SqIIq4Lw_13_8"/>
      <w:bookmarkStart w:id="1498" w:name="Tc_MbASf1fLNEWpz48AVtgrnw_13_5"/>
      <w:bookmarkStart w:id="1499" w:name="Tc_bDoTB8OXwUqSS-Y7M_Lg-A_13_2"/>
      <w:bookmarkStart w:id="1500" w:name="Tc_SwQY60qrHkah2ETw9-MYGQ_13_0"/>
      <w:bookmarkStart w:id="1501" w:name="Tc_ggmJs-XOs0eqFGMSkiKhnQ_12_0"/>
      <w:bookmarkStart w:id="1502" w:name="Tc_IB_2peZkDESElcHK6Nh1XQ_11_0"/>
      <w:bookmarkStart w:id="1503" w:name="Tc_ZRwpC_ZNTUqlcsNMRB4oSw_10_12"/>
      <w:bookmarkStart w:id="1504" w:name="Tc_BZkFYqyPZ0OmEZSTMO8fRw_10_6"/>
      <w:bookmarkStart w:id="1505" w:name="Tc_2t9DwV9bYESqy6auAzRFPA_10_0"/>
      <w:bookmarkStart w:id="1506" w:name="Tc_1Si_rOWrVkWdqzXApgzgTg_9_0"/>
      <w:bookmarkStart w:id="1507" w:name="Tc_W4ry5xS0gEajfbNRNs2LlQ_8_0"/>
      <w:bookmarkStart w:id="1508" w:name="Tc_y4IsTdC-dUq-fKlhpmrakA_7_0"/>
      <w:bookmarkStart w:id="1509" w:name="Tc_mTX5dPAoREe_t9ZkhhgN7Q_6_12"/>
      <w:bookmarkStart w:id="1510" w:name="Tc_Ty9SzUqACkKnfLdwR6DBEg_6_6"/>
      <w:bookmarkStart w:id="1511" w:name="Tc_pM2qnhAjOUu1iuZhTRTrfQ_6_0"/>
      <w:bookmarkStart w:id="1512" w:name="Tc__ob4Xe48z0yWONAue-sZUQ_5_0"/>
      <w:bookmarkStart w:id="1513" w:name="Tc_qwBntH-qpUS33lk_Ga_y3w_4_11"/>
      <w:bookmarkStart w:id="1514" w:name="Tc_6urzXdB8KUKoXrhryl-raQ_4_8"/>
      <w:bookmarkStart w:id="1515" w:name="Tc_HfxZyoUDZ0Svv2GYb21fFw_4_5"/>
      <w:bookmarkStart w:id="1516" w:name="Tc_QWyr8qwPzk-RrAJp93xfoQ_4_2"/>
      <w:bookmarkStart w:id="1517" w:name="Tc_TRAbp4tQSEGInsG0nZ9wWw_4_0"/>
      <w:bookmarkStart w:id="1518" w:name="Tc_JS66RSIFNkag9HkdChZhOg_3_11"/>
      <w:bookmarkStart w:id="1519" w:name="Tc_uiPgTXQZh0Sk2Dw-NjzGRQ_3_8"/>
      <w:bookmarkStart w:id="1520" w:name="Tc_znYvyLjyakKxH2ZG9aCZfw_3_5"/>
      <w:bookmarkStart w:id="1521" w:name="Tc_d89w5fMw-0KqBlybRINseA_3_2"/>
      <w:bookmarkStart w:id="1522" w:name="Tc_Oc_SJ4yBE0Goe8R0j-coSg_2_11"/>
      <w:bookmarkStart w:id="1523" w:name="Tc_sWWOdD9iLUqTaG5BRCyLaw_2_8"/>
      <w:bookmarkStart w:id="1524" w:name="Tc_EQD0P5l9rEq5mZ-wKefz2w_2_5"/>
      <w:bookmarkStart w:id="1525" w:name="Tc__eTHHuL4R0GYycoWp6BLhA_2_2"/>
      <w:bookmarkStart w:id="1526" w:name="Tc_cPz__B3Ou0iLMM1-xmXC-w_1_11"/>
      <w:bookmarkStart w:id="1527" w:name="Tc_TDMLQGF9R0KAe08f7jJTqg_1_8"/>
      <w:bookmarkStart w:id="1528" w:name="Tc_PzzPpb57k0S_Im5Q4uIKCA_1_5"/>
      <w:bookmarkStart w:id="1529" w:name="Tc_T3-aTTuOG0avN6HAsvCSgA_1_2"/>
      <w:bookmarkStart w:id="1530" w:name="_d1e6c8ae_c998_4c1a_aa46_1f87ccf87a60"/>
      <w:bookmarkStart w:id="1531" w:name="_Hlk174582259"/>
      <w:bookmarkStart w:id="1532" w:name="Tc_t-hfbn0f60-jhLX69IkDzA_8_8"/>
      <w:bookmarkStart w:id="1533" w:name="Tc_mM0aPfBQakO4spr5f2tX_Q_8_6"/>
      <w:bookmarkStart w:id="1534" w:name="Tc_XPGZ6s41KEqtWE1FSGsuUw_8_0"/>
      <w:bookmarkStart w:id="1535" w:name="Tc_vkbI6zGNwU6ZSibY0rmEZw_7_8"/>
      <w:bookmarkStart w:id="1536" w:name="Tc_ro1bJh1RrE6svjvnrPXMFA_7_6"/>
      <w:bookmarkStart w:id="1537" w:name="Tc_MHU-0UbuLE2MlEMNdkU8Qw_7_0"/>
      <w:bookmarkStart w:id="1538" w:name="Tc_iKbVExyIukahnEE3v8h3-w_6_0"/>
      <w:bookmarkStart w:id="1539" w:name="Tc_lM7FeBZfLESKlLDot6tTjA_5_0"/>
      <w:bookmarkStart w:id="1540" w:name="Tc_FX5cntWfE0C_Sje0FxwGig_4_0"/>
      <w:bookmarkStart w:id="1541" w:name="Tc_aZTgUYP9TUGjm7Yy3ebOxg_3_8"/>
      <w:bookmarkStart w:id="1542" w:name="Tc_NSDdoqN3skOpaejbbh5hkQ_3_6"/>
      <w:bookmarkStart w:id="1543" w:name="Tc_G_V4QFb0GkCMb-ZrIP2J-Q_3_4"/>
      <w:bookmarkStart w:id="1544" w:name="Tc_YJ8OnOpKQkuHv2F5-F8c6w_3_2"/>
      <w:bookmarkStart w:id="1545" w:name="Tc_Tx1nzncbUkat9Oi9q0uGsQ_2_8"/>
      <w:bookmarkStart w:id="1546" w:name="Tc_81UfLy_X-U6OF3ErMqcSrA_2_6"/>
      <w:bookmarkStart w:id="1547" w:name="Tc_fmY73hRf2kSI3PDx5wQ0ZQ_2_4"/>
      <w:bookmarkStart w:id="1548" w:name="Tc_0tuhrkey_UeZ7DOqTs9GBw_2_2"/>
      <w:bookmarkStart w:id="1549" w:name="Tc_wCVI1O9Gl0uq863l3fB7Ng_1_8"/>
      <w:bookmarkStart w:id="1550" w:name="Tc_oxps2fwr90KnFyW4myhBoA_1_6"/>
      <w:bookmarkStart w:id="1551" w:name="Tc_-DeS9sUCa06fqya6s3hAwQ_1_4"/>
      <w:bookmarkStart w:id="1552" w:name="Tc_WEH35zpzt0iZqd2Re0k8xw_1_2"/>
      <w:bookmarkStart w:id="1553" w:name="_8c2bb219_2220_4c0d_a46f_18e997eeca5d"/>
      <w:bookmarkStart w:id="1554" w:name="Tc_LrJXEm595Ua-U5uXjCim5g_14_11"/>
      <w:bookmarkStart w:id="1555" w:name="Tc_EpcoeRDlD0ap6KgHxibhLA_14_8"/>
      <w:bookmarkStart w:id="1556" w:name="Tc_gU0Kv3NKqUeTWgxh2ZjvQw_14_5"/>
      <w:bookmarkStart w:id="1557" w:name="Tc_tSOhNmfmKE-EJAAxo8svHw_14_2"/>
      <w:bookmarkStart w:id="1558" w:name="Tc_nZKMqorsNUOA5fK3btR2gw_14_0"/>
      <w:bookmarkStart w:id="1559" w:name="Tc_NMv22ZbK2Uqav4UFuJTV0w_13_11"/>
      <w:bookmarkStart w:id="1560" w:name="Tc_FfdWCHX0p0Wc_7SqIIq4Lw_13_8"/>
      <w:bookmarkStart w:id="1561" w:name="Tc_MbASf1fLNEWpz48AVtgrnw_13_5"/>
      <w:bookmarkStart w:id="1562" w:name="Tc_bDoTB8OXwUqSS-Y7M_Lg-A_13_2"/>
      <w:bookmarkStart w:id="1563" w:name="Tc_SwQY60qrHkah2ETw9-MYGQ_13_0"/>
      <w:bookmarkStart w:id="1564" w:name="Tc_ggmJs-XOs0eqFGMSkiKhnQ_12_0"/>
      <w:bookmarkStart w:id="1565" w:name="Tc_IB_2peZkDESElcHK6Nh1XQ_11_0"/>
      <w:bookmarkStart w:id="1566" w:name="Tc_ZRwpC_ZNTUqlcsNMRB4oSw_10_12"/>
      <w:bookmarkStart w:id="1567" w:name="Tc_BZkFYqyPZ0OmEZSTMO8fRw_10_6"/>
      <w:bookmarkStart w:id="1568" w:name="Tc_2t9DwV9bYESqy6auAzRFPA_10_0"/>
      <w:bookmarkStart w:id="1569" w:name="Tc_1Si_rOWrVkWdqzXApgzgTg_9_0"/>
      <w:bookmarkStart w:id="1570" w:name="Tc_W4ry5xS0gEajfbNRNs2LlQ_8_0"/>
      <w:bookmarkStart w:id="1571" w:name="Tc_y4IsTdC-dUq-fKlhpmrakA_7_0"/>
      <w:bookmarkStart w:id="1572" w:name="Tc_mTX5dPAoREe_t9ZkhhgN7Q_6_12"/>
      <w:bookmarkStart w:id="1573" w:name="Tc_Ty9SzUqACkKnfLdwR6DBEg_6_6"/>
      <w:bookmarkStart w:id="1574" w:name="Tc_pM2qnhAjOUu1iuZhTRTrfQ_6_0"/>
      <w:bookmarkStart w:id="1575" w:name="Tc__ob4Xe48z0yWONAue-sZUQ_5_0"/>
      <w:bookmarkStart w:id="1576" w:name="Tc_qwBntH-qpUS33lk_Ga_y3w_4_11"/>
      <w:bookmarkStart w:id="1577" w:name="Tc_6urzXdB8KUKoXrhryl-raQ_4_8"/>
      <w:bookmarkStart w:id="1578" w:name="Tc_HfxZyoUDZ0Svv2GYb21fFw_4_5"/>
      <w:bookmarkStart w:id="1579" w:name="Tc_QWyr8qwPzk-RrAJp93xfoQ_4_2"/>
      <w:bookmarkStart w:id="1580" w:name="Tc_TRAbp4tQSEGInsG0nZ9wWw_4_0"/>
      <w:bookmarkStart w:id="1581" w:name="Tc_JS66RSIFNkag9HkdChZhOg_3_11"/>
      <w:bookmarkStart w:id="1582" w:name="Tc_uiPgTXQZh0Sk2Dw-NjzGRQ_3_8"/>
      <w:bookmarkStart w:id="1583" w:name="Tc_znYvyLjyakKxH2ZG9aCZfw_3_5"/>
      <w:bookmarkStart w:id="1584" w:name="Tc_d89w5fMw-0KqBlybRINseA_3_2"/>
      <w:bookmarkStart w:id="1585" w:name="Tc_Oc_SJ4yBE0Goe8R0j-coSg_2_11"/>
      <w:bookmarkStart w:id="1586" w:name="Tc_sWWOdD9iLUqTaG5BRCyLaw_2_8"/>
      <w:bookmarkStart w:id="1587" w:name="Tc_EQD0P5l9rEq5mZ-wKefz2w_2_5"/>
      <w:bookmarkStart w:id="1588" w:name="Tc__eTHHuL4R0GYycoWp6BLhA_2_2"/>
      <w:bookmarkStart w:id="1589" w:name="Tc_cPz__B3Ou0iLMM1-xmXC-w_1_11"/>
      <w:bookmarkStart w:id="1590" w:name="Tc_TDMLQGF9R0KAe08f7jJTqg_1_8"/>
      <w:bookmarkStart w:id="1591" w:name="Tc_PzzPpb57k0S_Im5Q4uIKCA_1_5"/>
      <w:bookmarkStart w:id="1592" w:name="Tc_T3-aTTuOG0avN6HAsvCSgA_1_2"/>
      <w:bookmarkStart w:id="1593" w:name="_d1e6c8ae_c998_4c1a_aa46_1f87ccf87a60"/>
      <w:bookmarkStart w:id="1594" w:name="_Hlk174582259"/>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p>
    <w:tbl>
      <w:tblPr>
        <w:tblW w:w="3587" w:type="dxa"/>
        <w:jc w:val="left"/>
        <w:tblInd w:w="0" w:type="dxa"/>
        <w:tblLayout w:type="fixed"/>
        <w:tblCellMar>
          <w:top w:w="0" w:type="dxa"/>
          <w:left w:w="0" w:type="dxa"/>
          <w:bottom w:w="0" w:type="dxa"/>
          <w:right w:w="0" w:type="dxa"/>
        </w:tblCellMar>
      </w:tblPr>
      <w:tblGrid>
        <w:gridCol w:w="376"/>
        <w:gridCol w:w="3211"/>
      </w:tblGrid>
      <w:tr>
        <w:trPr/>
        <w:tc>
          <w:tcPr>
            <w:tcW w:w="3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13.</w:t>
            </w:r>
          </w:p>
        </w:tc>
        <w:tc>
          <w:tcPr>
            <w:tcW w:w="321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NET INCOME (LOSS) PER SHARE</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Series A and Series B Preferred Stock do not have similar economic rights to the common stock and management does not consider them to be in substance common shares for earnings per share (“EPS”) purposes. As a result, the weighted average Series A and Series B Preferred Stock outstanding during the period was not included in the calculation of weighted average common stock outstanding. Diluted earnings per share is computed by including the dilutive effect of the conversion of all potential common stock equivalents (which includes warrants, Series A Preferred Stock, Series B Preferred Stock, options and unvested restricted stock) and accordingly, as applicable adjusting net income to add back any changes in earnings that reduce earnings per common share in the period associated with the potential common stock equivalents.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computation of income (loss) per share and weighted average of the Company’s common stock outstanding for the three and nine months ended September 30, 2025 and 2024 is as follows </w:t>
      </w:r>
      <w:r>
        <w:rPr>
          <w:rFonts w:ascii="Times New Roman;Times;serif" w:hAnsi="Times New Roman;Times;serif"/>
          <w:i/>
          <w:sz w:val="20"/>
        </w:rPr>
        <w:t>(in thousands)</w:t>
      </w:r>
      <w:r>
        <w:rPr>
          <w:rFonts w:ascii="Times New Roman;Times;serif" w:hAnsi="Times New Roman;Times;serif"/>
          <w:sz w:val="20"/>
        </w:rPr>
        <w: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91"/>
        <w:gridCol w:w="326"/>
        <w:gridCol w:w="371"/>
        <w:gridCol w:w="1035"/>
        <w:gridCol w:w="326"/>
        <w:gridCol w:w="365"/>
        <w:gridCol w:w="1041"/>
        <w:gridCol w:w="326"/>
        <w:gridCol w:w="360"/>
        <w:gridCol w:w="1016"/>
        <w:gridCol w:w="326"/>
        <w:gridCol w:w="347"/>
        <w:gridCol w:w="1075"/>
      </w:tblGrid>
      <w:tr>
        <w:trPr/>
        <w:tc>
          <w:tcPr>
            <w:tcW w:w="32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35585" cy="175260"/>
                      <wp:effectExtent l="0" t="0" r="0" b="0"/>
                      <wp:wrapNone/>
                      <wp:docPr id="146" name="Frame14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57225" cy="175260"/>
                      <wp:effectExtent l="0" t="0" r="0" b="0"/>
                      <wp:wrapNone/>
                      <wp:docPr id="147" name="Frame147"/>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31775" cy="175260"/>
                      <wp:effectExtent l="0" t="0" r="0" b="0"/>
                      <wp:wrapNone/>
                      <wp:docPr id="149" name="Frame149"/>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61035" cy="175260"/>
                      <wp:effectExtent l="0" t="0" r="0" b="0"/>
                      <wp:wrapNone/>
                      <wp:docPr id="150" name="Frame150"/>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28600" cy="175260"/>
                      <wp:effectExtent l="0" t="0" r="0" b="0"/>
                      <wp:wrapNone/>
                      <wp:docPr id="152" name="Frame1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5160" cy="175260"/>
                      <wp:effectExtent l="0" t="0" r="0" b="0"/>
                      <wp:wrapNone/>
                      <wp:docPr id="153" name="Frame153"/>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20345" cy="175260"/>
                      <wp:effectExtent l="0" t="0" r="0" b="0"/>
                      <wp:wrapNone/>
                      <wp:docPr id="155" name="Frame155"/>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82625" cy="175260"/>
                      <wp:effectExtent l="0" t="0" r="0" b="0"/>
                      <wp:wrapNone/>
                      <wp:docPr id="156" name="Frame156"/>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1"/>
              <w:ind w:left="0" w:right="0" w:hanging="0"/>
              <w:jc w:val="left"/>
              <w:rPr/>
            </w:pPr>
            <w:r>
              <w:rPr/>
              <w:t>​</w:t>
            </w:r>
          </w:p>
        </w:tc>
        <w:tc>
          <w:tcPr>
            <w:tcW w:w="14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1"/>
              <w:ind w:left="0" w:right="0" w:hanging="0"/>
              <w:jc w:val="left"/>
              <w:rPr/>
            </w:pPr>
            <w:r>
              <w:rPr/>
              <w:t>​</w:t>
            </w:r>
          </w:p>
        </w:tc>
        <w:tc>
          <w:tcPr>
            <w:tcW w:w="13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26" w:type="dxa"/>
            <w:tcBorders/>
            <w:vAlign w:val="center"/>
          </w:tcPr>
          <w:p>
            <w:pPr>
              <w:pStyle w:val="TableContents"/>
              <w:bidi w:val="0"/>
              <w:spacing w:before="0" w:after="1"/>
              <w:ind w:left="0" w:right="0" w:hanging="0"/>
              <w:jc w:val="left"/>
              <w:rPr/>
            </w:pPr>
            <w:r>
              <w:rPr/>
              <w:t>​</w:t>
            </w:r>
          </w:p>
        </w:tc>
        <w:tc>
          <w:tcPr>
            <w:tcW w:w="14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32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4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3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4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2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4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3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4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w:t>
            </w:r>
          </w:p>
        </w:tc>
        <w:tc>
          <w:tcPr>
            <w:tcW w:w="32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(4,197)</w:t>
            </w:r>
          </w:p>
        </w:tc>
      </w:tr>
      <w:tr>
        <w:trPr/>
        <w:tc>
          <w:tcPr>
            <w:tcW w:w="3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preferred dividends</w:t>
            </w:r>
          </w:p>
        </w:tc>
        <w:tc>
          <w:tcPr>
            <w:tcW w:w="32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2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w:t>
            </w:r>
          </w:p>
        </w:tc>
        <w:tc>
          <w:tcPr>
            <w:tcW w:w="32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w:t>
            </w:r>
          </w:p>
        </w:tc>
      </w:tr>
      <w:tr>
        <w:trPr/>
        <w:tc>
          <w:tcPr>
            <w:tcW w:w="3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B preferred dividends</w:t>
            </w:r>
          </w:p>
        </w:tc>
        <w:tc>
          <w:tcPr>
            <w:tcW w:w="326" w:type="dxa"/>
            <w:tcBorders/>
            <w:shd w:fill="CCEEFF" w:val="cle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1"/>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available to common shareholders</w:t>
            </w:r>
          </w:p>
        </w:tc>
        <w:tc>
          <w:tcPr>
            <w:tcW w:w="32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(1,488)</w:t>
            </w:r>
          </w:p>
        </w:tc>
        <w:tc>
          <w:tcPr>
            <w:tcW w:w="32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w:t>
            </w:r>
          </w:p>
        </w:tc>
        <w:tc>
          <w:tcPr>
            <w:tcW w:w="32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(4,925)</w:t>
            </w:r>
          </w:p>
        </w:tc>
      </w:tr>
      <w:tr>
        <w:trPr/>
        <w:tc>
          <w:tcPr>
            <w:tcW w:w="3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for basic and diluted calculation</w:t>
            </w:r>
          </w:p>
        </w:tc>
        <w:tc>
          <w:tcPr>
            <w:tcW w:w="32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0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pPr>
            <w:r>
              <w:rPr/>
              <w:t>​</w:t>
            </w:r>
          </w:p>
        </w:tc>
      </w:tr>
      <w:tr>
        <w:trPr/>
        <w:tc>
          <w:tcPr>
            <w:tcW w:w="3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shares used in basic computation</w:t>
            </w:r>
          </w:p>
        </w:tc>
        <w:tc>
          <w:tcPr>
            <w:tcW w:w="32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16,709</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c>
          <w:tcPr>
            <w:tcW w:w="32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16,638</w:t>
            </w:r>
          </w:p>
        </w:tc>
        <w:tc>
          <w:tcPr>
            <w:tcW w:w="32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16,588</w:t>
            </w:r>
          </w:p>
        </w:tc>
      </w:tr>
      <w:tr>
        <w:trPr/>
        <w:tc>
          <w:tcPr>
            <w:tcW w:w="3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unvested stock units</w:t>
            </w:r>
          </w:p>
        </w:tc>
        <w:tc>
          <w:tcPr>
            <w:tcW w:w="326" w:type="dxa"/>
            <w:tcBorders/>
            <w:shd w:fill="CCEEFF" w:val="cle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shd w:fill="CCEEFF" w:val="clear"/>
            <w:vAlign w:val="center"/>
          </w:tcPr>
          <w:p>
            <w:pPr>
              <w:pStyle w:val="TableContents"/>
              <w:bidi w:val="0"/>
              <w:spacing w:before="0" w:after="1"/>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shares used in diluted computation</w:t>
            </w:r>
          </w:p>
        </w:tc>
        <w:tc>
          <w:tcPr>
            <w:tcW w:w="32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16,720</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c>
          <w:tcPr>
            <w:tcW w:w="32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16,921</w:t>
            </w:r>
          </w:p>
        </w:tc>
        <w:tc>
          <w:tcPr>
            <w:tcW w:w="32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16,588</w:t>
            </w:r>
          </w:p>
        </w:tc>
      </w:tr>
      <w:tr>
        <w:trPr/>
        <w:tc>
          <w:tcPr>
            <w:tcW w:w="3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(loss)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0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pPr>
            <w:r>
              <w:rPr/>
              <w:t>​</w:t>
            </w:r>
          </w:p>
        </w:tc>
      </w:tr>
      <w:tr>
        <w:trPr/>
        <w:tc>
          <w:tcPr>
            <w:tcW w:w="3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(0.30)</w:t>
            </w:r>
          </w:p>
        </w:tc>
      </w:tr>
      <w:tr>
        <w:trPr/>
        <w:tc>
          <w:tcPr>
            <w:tcW w:w="3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(0.30)</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following table details the securities that have been excluded from the calculation of weighted-average shares for diluted earnings per share for the period presented as they were anti-dilutive </w:t>
      </w:r>
      <w:r>
        <w:rPr>
          <w:rFonts w:ascii="Times New Roman;Times;serif" w:hAnsi="Times New Roman;Times;serif"/>
          <w:i/>
          <w:sz w:val="20"/>
        </w:rPr>
        <w:t>(in thousands)</w:t>
      </w:r>
      <w:r>
        <w:rPr>
          <w:rFonts w:ascii="Times New Roman;Times;serif" w:hAnsi="Times New Roman;Times;serif"/>
          <w:sz w:val="20"/>
        </w:rPr>
        <w:t>.</w:t>
      </w:r>
    </w:p>
    <w:tbl>
      <w:tblPr>
        <w:tblW w:w="9784" w:type="dxa"/>
        <w:jc w:val="left"/>
        <w:tblInd w:w="0" w:type="dxa"/>
        <w:tblLayout w:type="fixed"/>
        <w:tblCellMar>
          <w:top w:w="0" w:type="dxa"/>
          <w:left w:w="0" w:type="dxa"/>
          <w:bottom w:w="0" w:type="dxa"/>
          <w:right w:w="0" w:type="dxa"/>
        </w:tblCellMar>
      </w:tblPr>
      <w:tblGrid>
        <w:gridCol w:w="2611"/>
        <w:gridCol w:w="326"/>
        <w:gridCol w:w="1561"/>
        <w:gridCol w:w="326"/>
        <w:gridCol w:w="1561"/>
        <w:gridCol w:w="326"/>
        <w:gridCol w:w="1516"/>
        <w:gridCol w:w="326"/>
        <w:gridCol w:w="1231"/>
      </w:tblGrid>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w: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preferred stock</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B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preparation of the current period financial statements, the Company identified an immaterial error in the calculation of EPS for the prior periods. The error did not impact net income, total equity, or cash flows. The EPS figures for the prior periods have been revised accordingly in the comparative presentation. Management has concluded that the correction is not material to the prior period financial statements and does not require restatement.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202" w:type="dxa"/>
        <w:jc w:val="left"/>
        <w:tblInd w:w="0" w:type="dxa"/>
        <w:tblLayout w:type="fixed"/>
        <w:tblCellMar>
          <w:top w:w="0" w:type="dxa"/>
          <w:left w:w="0" w:type="dxa"/>
          <w:bottom w:w="0" w:type="dxa"/>
          <w:right w:w="0" w:type="dxa"/>
        </w:tblCellMar>
      </w:tblPr>
      <w:tblGrid>
        <w:gridCol w:w="376"/>
        <w:gridCol w:w="3826"/>
      </w:tblGrid>
      <w:tr>
        <w:trPr/>
        <w:tc>
          <w:tcPr>
            <w:tcW w:w="3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14.</w:t>
            </w:r>
          </w:p>
        </w:tc>
        <w:tc>
          <w:tcPr>
            <w:tcW w:w="382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Litigation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Certain conditions may exist as of the date the condensed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If the assessment of a contingency indicates that it is probable that a material loss has been incurred and the amount of the liability can be estimated, then the estimated liability would be accrued in the accompanying condensed consolidated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There can be no assurance that such matters will not materially and adversely affect the Company’s business, financial position, and results of operations or cash flows.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a defendant or respondent in various pending and threatened arbitrations, administrative proceedings and lawsuits seeking compensatory damages. Claim amounts are infrequently indicative of the actual amounts the Company will be liable for, if any. Many of these claimants also seek, in addition to compensatory damages, punitive or treble damages, and all seek interest, costs and fees. These matters arise in the normal course of business. The Company intends to vigorously defend itself in these actions, and the ultimate outcome of these matters cannot be determined at this time.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many lawsuits, arbitrations, and regulatory proceedings, it is not possible to determine whether a liability has been incurred or to estimate the amount of that liability until the matter is close to resolution. However, accruals are reviewed regularly and are adjusted to reflect management’s estimates of the impact of developments, rulings, advice of counsel and any other information pertinent to a particular matter.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327" w:type="dxa"/>
        <w:jc w:val="left"/>
        <w:tblInd w:w="0" w:type="dxa"/>
        <w:tblLayout w:type="fixed"/>
        <w:tblCellMar>
          <w:top w:w="0" w:type="dxa"/>
          <w:left w:w="0" w:type="dxa"/>
          <w:bottom w:w="0" w:type="dxa"/>
          <w:right w:w="0" w:type="dxa"/>
        </w:tblCellMar>
      </w:tblPr>
      <w:tblGrid>
        <w:gridCol w:w="376"/>
        <w:gridCol w:w="4951"/>
      </w:tblGrid>
      <w:tr>
        <w:trPr/>
        <w:tc>
          <w:tcPr>
            <w:tcW w:w="3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14.</w:t>
            </w:r>
          </w:p>
        </w:tc>
        <w:tc>
          <w:tcPr>
            <w:tcW w:w="495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 xml:space="preserve">COMMITMENTS AND CONTINGENCIES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the inherent difficulty in predicting the ultimate outcome of legal and regulatory actions, management cannot predict with certainty the eventual loss or range of loss related to such matters. The Company believes, based upon current information, that the outcome of any such legal proceeding, claim, dispute, or investigation will not have a material effect on the Company’s financial position, results of operations or cash flows. However, the actual outcomes of such legal proceedings, claims, disputes, or investigations could be material to the Company’s operating results and cash flows for a particular future period as additional information is obtained.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activities of the Company’s customers are transacted on either a cash or margin basis through the facilities of its clearing broker. In margin transactions, the clearing broker extends credit to the customers, subject to various regulatory and margin requirements, collateralized by cash and securities in the customer’s account. In connection with these activities, the clearing broker may also execute and clear customer transactions involving the sale of securities not yet purchased.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transactions may expose the Company to significant off-balance sheet risk in the event margin requirements are not sufficient to fully cover losses which the customers may incur. In the event the customers fail to satisfy their obligations to the clearing broker, the Company may be required to compensate the clearing broker for losses incurred on behalf of the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through its clearing broker, seeks to control the risk associated with its customers’ activities by requiring customers to maintain margin collateral in compliance with various regulatory and internal guidelines.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September 30, 2025 and December 31, 2024, management of the Company had not been notified by any clearing brokers, nor were they otherwise aware of any potential losses relating to this indemnification.</w:t>
      </w:r>
    </w:p>
    <w:p>
      <w:pPr>
        <w:pStyle w:val="TextBody"/>
        <w:bidi w:val="0"/>
        <w:spacing w:before="0" w:after="240"/>
        <w:ind w:left="0" w:right="0" w:hanging="0"/>
        <w:jc w:val="both"/>
        <w:rPr/>
      </w:pPr>
      <w:r>
        <w:rPr/>
        <w:t>​</w:t>
      </w:r>
    </w:p>
    <w:tbl>
      <w:tblPr>
        <w:tblW w:w="7157" w:type="dxa"/>
        <w:jc w:val="left"/>
        <w:tblInd w:w="0" w:type="dxa"/>
        <w:tblLayout w:type="fixed"/>
        <w:tblCellMar>
          <w:top w:w="0" w:type="dxa"/>
          <w:left w:w="0" w:type="dxa"/>
          <w:bottom w:w="0" w:type="dxa"/>
          <w:right w:w="0" w:type="dxa"/>
        </w:tblCellMar>
      </w:tblPr>
      <w:tblGrid>
        <w:gridCol w:w="376"/>
        <w:gridCol w:w="678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15.</w:t>
            </w:r>
          </w:p>
        </w:tc>
        <w:tc>
          <w:tcPr>
            <w:tcW w:w="67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COMMON STOCK, PREFERRED STOCK AND STOCKHOLDERS’ EQUITY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authorized to issue 57,500,000 shares consisting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2,000,000</w:t>
            </w:r>
            <w:r>
              <w:rPr>
                <w:caps w:val="false"/>
                <w:smallCaps w:val="false"/>
              </w:rPr>
              <w:t xml:space="preserve"> </w:t>
            </w:r>
            <w:r>
              <w:rPr>
                <w:rFonts w:ascii="Times New Roman;Times;serif" w:hAnsi="Times New Roman;Times;serif"/>
                <w:b w:val="false"/>
                <w:i w:val="false"/>
                <w:caps w:val="false"/>
                <w:smallCaps w:val="false"/>
                <w:sz w:val="20"/>
              </w:rPr>
              <w:t>shares of Series A Preferred Stock, par value $0.0001</w:t>
            </w:r>
            <w:r>
              <w:rPr>
                <w:caps w:val="false"/>
                <w:smallCaps w:val="false"/>
              </w:rPr>
              <w:t xml:space="preserve"> </w:t>
            </w:r>
            <w:r>
              <w:rPr>
                <w:rFonts w:ascii="Times New Roman;Times;serif" w:hAnsi="Times New Roman;Times;serif"/>
                <w:b w:val="false"/>
                <w:i w:val="false"/>
                <w:caps w:val="false"/>
                <w:smallCaps w:val="false"/>
                <w:sz w:val="20"/>
              </w:rPr>
              <w:t>per share, 1,608,000</w:t>
            </w:r>
            <w:r>
              <w:rPr>
                <w:caps w:val="false"/>
                <w:smallCaps w:val="false"/>
              </w:rPr>
              <w:t xml:space="preserve"> </w:t>
            </w:r>
            <w:r>
              <w:rPr>
                <w:rFonts w:ascii="Times New Roman;Times;serif" w:hAnsi="Times New Roman;Times;serif"/>
                <w:b w:val="false"/>
                <w:i w:val="false"/>
                <w:caps w:val="false"/>
                <w:smallCaps w:val="false"/>
                <w:sz w:val="20"/>
              </w:rPr>
              <w:t>shares issued and outstanding as of September 30,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500,000</w:t>
            </w:r>
            <w:r>
              <w:rPr>
                <w:caps w:val="false"/>
                <w:smallCaps w:val="false"/>
              </w:rPr>
              <w:t xml:space="preserve"> </w:t>
            </w:r>
            <w:r>
              <w:rPr>
                <w:rFonts w:ascii="Times New Roman;Times;serif" w:hAnsi="Times New Roman;Times;serif"/>
                <w:b w:val="false"/>
                <w:i w:val="false"/>
                <w:caps w:val="false"/>
                <w:smallCaps w:val="false"/>
                <w:sz w:val="20"/>
              </w:rPr>
              <w:t>shares of Series B Preferred Stock, par value $0.0001</w:t>
            </w:r>
            <w:r>
              <w:rPr>
                <w:caps w:val="false"/>
                <w:smallCaps w:val="false"/>
              </w:rPr>
              <w:t xml:space="preserve"> </w:t>
            </w:r>
            <w:r>
              <w:rPr>
                <w:rFonts w:ascii="Times New Roman;Times;serif" w:hAnsi="Times New Roman;Times;serif"/>
                <w:b w:val="false"/>
                <w:i w:val="false"/>
                <w:caps w:val="false"/>
                <w:smallCaps w:val="false"/>
                <w:sz w:val="20"/>
              </w:rPr>
              <w:t>per share, 150,000</w:t>
            </w:r>
            <w:r>
              <w:rPr>
                <w:caps w:val="false"/>
                <w:smallCaps w:val="false"/>
              </w:rPr>
              <w:t xml:space="preserve"> </w:t>
            </w:r>
            <w:r>
              <w:rPr>
                <w:rFonts w:ascii="Times New Roman;Times;serif" w:hAnsi="Times New Roman;Times;serif"/>
                <w:b w:val="false"/>
                <w:i w:val="false"/>
                <w:caps w:val="false"/>
                <w:smallCaps w:val="false"/>
                <w:sz w:val="20"/>
              </w:rPr>
              <w:t>shares issued and outstanding as of September 30,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55,000,000</w:t>
            </w:r>
            <w:r>
              <w:rPr>
                <w:caps w:val="false"/>
                <w:smallCaps w:val="false"/>
              </w:rPr>
              <w:t xml:space="preserve"> </w:t>
            </w:r>
            <w:r>
              <w:rPr>
                <w:rFonts w:ascii="Times New Roman;Times;serif" w:hAnsi="Times New Roman;Times;serif"/>
                <w:b w:val="false"/>
                <w:i w:val="false"/>
                <w:caps w:val="false"/>
                <w:smallCaps w:val="false"/>
                <w:sz w:val="20"/>
              </w:rPr>
              <w:t>shares of Common Stock, par value $0.0001</w:t>
            </w:r>
            <w:r>
              <w:rPr>
                <w:caps w:val="false"/>
                <w:smallCaps w:val="false"/>
              </w:rPr>
              <w:t xml:space="preserve"> </w:t>
            </w:r>
            <w:r>
              <w:rPr>
                <w:rFonts w:ascii="Times New Roman;Times;serif" w:hAnsi="Times New Roman;Times;serif"/>
                <w:b w:val="false"/>
                <w:i w:val="false"/>
                <w:caps w:val="false"/>
                <w:smallCaps w:val="false"/>
                <w:sz w:val="20"/>
              </w:rPr>
              <w:t>per share, 16,602,460</w:t>
            </w:r>
            <w:r>
              <w:rPr>
                <w:caps w:val="false"/>
                <w:smallCaps w:val="false"/>
              </w:rPr>
              <w:t xml:space="preserve"> </w:t>
            </w:r>
            <w:r>
              <w:rPr>
                <w:rFonts w:ascii="Times New Roman;Times;serif" w:hAnsi="Times New Roman;Times;serif"/>
                <w:b w:val="false"/>
                <w:i w:val="false"/>
                <w:caps w:val="false"/>
                <w:smallCaps w:val="false"/>
                <w:sz w:val="20"/>
              </w:rPr>
              <w:t>shares issued and outstanding as of September 30, 2025.</w:t>
            </w:r>
          </w:p>
        </w:tc>
      </w:tr>
    </w:tbl>
    <w:p>
      <w:pPr>
        <w:pStyle w:val="TextBody"/>
        <w:bidi w:val="0"/>
        <w:spacing w:before="0" w:after="0"/>
        <w:ind w:left="720" w:right="0" w:hanging="0"/>
        <w:jc w:val="both"/>
        <w:rPr/>
      </w:pPr>
      <w:r>
        <w:rPr/>
        <w:t>​</w:t>
      </w:r>
    </w:p>
    <w:tbl>
      <w:tblPr>
        <w:tblW w:w="3992" w:type="dxa"/>
        <w:jc w:val="left"/>
        <w:tblInd w:w="0" w:type="dxa"/>
        <w:tblLayout w:type="fixed"/>
        <w:tblCellMar>
          <w:top w:w="0" w:type="dxa"/>
          <w:left w:w="0" w:type="dxa"/>
          <w:bottom w:w="0" w:type="dxa"/>
          <w:right w:w="0" w:type="dxa"/>
        </w:tblCellMar>
      </w:tblPr>
      <w:tblGrid>
        <w:gridCol w:w="376"/>
        <w:gridCol w:w="361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16.</w:t>
            </w:r>
          </w:p>
        </w:tc>
        <w:tc>
          <w:tcPr>
            <w:tcW w:w="3616"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NET CAPITAL REQUIREMENTS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operates four registered broker-dealers that are subject to the SEC Uniform Net Capital Rule (Rule 15c3-1). This requires the Company to maintain certain minimum net capital requirements. As of September 30, 2025 and December 31, 2024, all broker-dealers had net capital in excess of the required minimums.</w:t>
      </w:r>
    </w:p>
    <w:p>
      <w:pPr>
        <w:pStyle w:val="TextBody"/>
        <w:bidi w:val="0"/>
        <w:spacing w:before="0" w:after="240"/>
        <w:ind w:left="0" w:right="0" w:hanging="0"/>
        <w:jc w:val="both"/>
        <w:rPr/>
      </w:pPr>
      <w:r>
        <w:rPr/>
        <w:t>​</w:t>
      </w:r>
    </w:p>
    <w:tbl>
      <w:tblPr>
        <w:tblW w:w="4112" w:type="dxa"/>
        <w:jc w:val="left"/>
        <w:tblInd w:w="0" w:type="dxa"/>
        <w:tblLayout w:type="fixed"/>
        <w:tblCellMar>
          <w:top w:w="0" w:type="dxa"/>
          <w:left w:w="0" w:type="dxa"/>
          <w:bottom w:w="0" w:type="dxa"/>
          <w:right w:w="0" w:type="dxa"/>
        </w:tblCellMar>
      </w:tblPr>
      <w:tblGrid>
        <w:gridCol w:w="376"/>
        <w:gridCol w:w="373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17.</w:t>
            </w:r>
          </w:p>
        </w:tc>
        <w:tc>
          <w:tcPr>
            <w:tcW w:w="37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CREDIT RISK AND CONCENTRATIONS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uncollectible accounts and, consequently, believes that its receivables credit risk exposure beyond such allowances is limited.</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972" w:type="dxa"/>
        <w:jc w:val="left"/>
        <w:tblInd w:w="0" w:type="dxa"/>
        <w:tblLayout w:type="fixed"/>
        <w:tblCellMar>
          <w:top w:w="0" w:type="dxa"/>
          <w:left w:w="0" w:type="dxa"/>
          <w:bottom w:w="0" w:type="dxa"/>
          <w:right w:w="0" w:type="dxa"/>
        </w:tblCellMar>
      </w:tblPr>
      <w:tblGrid>
        <w:gridCol w:w="376"/>
        <w:gridCol w:w="259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18.</w:t>
            </w:r>
          </w:p>
        </w:tc>
        <w:tc>
          <w:tcPr>
            <w:tcW w:w="259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with the consummation of the Business Combination, the Board confirmed Craig Gould as Chief Executive Officer (“CEO”) and David Shane as Chief Financial Officer (“CFO). The Company has concluded that its Chief Operating Decision Maker (“CODM”) of the group includes the CEO and CFO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Management of the Company has determined that it has one reportable segment, given the common nature of the Company’s operations, products and services, and regulatory environment. The Company provides a platform of brokerage and investment advisory services to independent financial advisors and advisors at other financial services companies from which the Company derives its revenues and incurs expenses. See Note 4 – </w:t>
      </w:r>
      <w:r>
        <w:rPr>
          <w:rFonts w:ascii="Times New Roman;Times;serif" w:hAnsi="Times New Roman;Times;serif"/>
          <w:i/>
          <w:sz w:val="20"/>
        </w:rPr>
        <w:t>Revenue from Contracts with Customers</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CODM regularly reviews net income/(loss) before the provision or benefit for income taxes as presented in the Company’s condensed consolidated statements of operations for purposes of assessing performance and making decisions regarding the allocation of resources. Expenses regularly reviewed by the CODM include those line items reported on the Company’s condensed consolidated statement of operations, the most significant of which includes commissions and fees, employee compensation and benefits and professional fees. See the condensed consolidated statements of operations and Note 2 – </w:t>
      </w:r>
      <w:r>
        <w:rPr>
          <w:rFonts w:ascii="Times New Roman;Times;serif" w:hAnsi="Times New Roman;Times;serif"/>
          <w:i/>
          <w:sz w:val="20"/>
        </w:rPr>
        <w:t>Summary of Significant Accounts Policies</w:t>
      </w:r>
      <w:r>
        <w:rPr>
          <w:rFonts w:ascii="Times New Roman;Times;serif" w:hAnsi="Times New Roman;Times;serif"/>
          <w:sz w:val="20"/>
        </w:rPr>
        <w:t xml:space="preserve"> for additional information about these lines items and the related accounting policies.</w:t>
      </w:r>
    </w:p>
    <w:p>
      <w:pPr>
        <w:pStyle w:val="TextBody"/>
        <w:bidi w:val="0"/>
        <w:spacing w:before="0" w:after="240"/>
        <w:ind w:left="0" w:right="0" w:hanging="0"/>
        <w:jc w:val="both"/>
        <w:rPr/>
      </w:pPr>
      <w:r>
        <w:rPr/>
        <w:t>​</w:t>
      </w:r>
    </w:p>
    <w:tbl>
      <w:tblPr>
        <w:tblW w:w="2657" w:type="dxa"/>
        <w:jc w:val="left"/>
        <w:tblInd w:w="0" w:type="dxa"/>
        <w:tblLayout w:type="fixed"/>
        <w:tblCellMar>
          <w:top w:w="0" w:type="dxa"/>
          <w:left w:w="0" w:type="dxa"/>
          <w:bottom w:w="0" w:type="dxa"/>
          <w:right w:w="0" w:type="dxa"/>
        </w:tblCellMar>
      </w:tblPr>
      <w:tblGrid>
        <w:gridCol w:w="376"/>
        <w:gridCol w:w="228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19.</w:t>
            </w:r>
          </w:p>
        </w:tc>
        <w:tc>
          <w:tcPr>
            <w:tcW w:w="22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evaluated subsequent events that occurred after the balance sheet date up to the date that the condensed consolidated financial statements were available to be issued.</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95" w:name="Item2ManagementsDiscussionandAnalysisofF"/>
      <w:bookmarkStart w:id="1596" w:name="_6fe763e7_07b7_4fc7_9d65_438a2bf39495"/>
      <w:bookmarkEnd w:id="1595"/>
      <w:bookmarkEnd w:id="1596"/>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Any reference to Binah Capital Group, Inc. refers to Binah Capital Group, Inc. and our consolidated subsidiaries on a forward-looking basis or as the context requires, to the historical results of BMS Management Services LLC. Any reference to “BMS Management Services LLC” refers to the entities comprising the Binah Capital Group, Inc. business prior to the consummation of the Business Combination. The following discussion and analysis of the Company’s financial condition and results of operations should be read in conjunction with the condensed consolidated financial statements and the notes thereto contained elsewhere in this report and with our audited financial statements included in our Annual Report on Form 10-K for the year ended December 31, 2024, as filed with the SEC. References to the “Company,” “us” or “we” refer to Binah Capital Group,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discussion and analysis of financial condition and results of operations should be read in conjunction with the sections entitled “Part I, Item 1A. Risk Factors” and “Part II, Item 7. Management’s Discussion and Analysis of Financial Condition and Results of Operations” in our Annual Report on Form 10-K for the year ended December 31, 2024; “Part I, “Item 2. Management’s Discussion and Analysis of Financial Condition and Results of Operations” in our Quarterly Reports on Form 10-Q for the periods ended March 31, 2025 and June 30, 2025; and “Part I, Item 1. Financial Statements” in this Quarterly Report on Form 10-Q for the period ended September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 leading consolidator of retail wealth management businesses that owns and operates ten entities, four of which are broker-dealers, three of which are registered investment advisors, and three of which are insurance entities, that have over 1,900 registered individuals working within the financial services industries.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focuses on three critical areas comprised of the hybrid, independent, and W2 business models to allow affiliated advisors to choose the operating model that works best for them and run their practices on their own terms. The Company’s platform adds to its flexibility by providing a variety of custody and clearing firm options to accommodate the unique business needs of advisors.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Sources of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revenue is derived primarily from fees and commissions from products and advisory services offered by our advisors to their clients, a substantial portion of which we pay out to our advisors.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Summary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Highlights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Results for the three and nine-month period ended September 30, 2025 included net income of approximately $1.8 million and $2.1 million, respectively and total revenue of approximately $46.2 million and $136.6 million, respectively, which compares to a net loss and total revenue of $(1.2) million and $(3.5) million and approximately $42.2 million and $124.3 million, respectively, for the three and nine-month period ended September 30,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 Trends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advisory and brokerage assets served were $29.9 billion at September 30, 2025, compared to $26.9 billion at September 30, 2024. Total net new assets were $(0.2) billion and $(1.3) billion for the three and nine-month period ended September 30, 2025, respectively, compared to $0.4 billion and ($1.8) billion for the same period in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new advisory assets were $0.0 billion and $0.0 billion for the three and nine-month period ended September 30, 2025, respectively, compared to $0.0 billion and (0.1) billion for the same period in 2024. Advisory assets were $2.9 billion at September 30, 2025, which is an increase of 16% as compared to the $2.5 billion at September 30,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new brokerage assets were $(0.2) billion and $(1.3) billion for the three and nine-month period ended September 30, 2025, compared to $0.4 billion and $(1.7) billion for the same period in 2024. Brokerage assets were $27.0 billion at September 30, 2025, up 10% from $24.5 billion at September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Gross Profit Trend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a non-GAAP financial measure, was $9.0 million and $26.4 million for the three and nine-month period ended September 30, 2025, respectively, an increase of 7.5% and 12.5% from $8.4 million and $23.5 million for the same period in 2024. See the “</w:t>
      </w:r>
      <w:r>
        <w:rPr>
          <w:rFonts w:ascii="Times New Roman;Times;serif" w:hAnsi="Times New Roman;Times;serif"/>
          <w:i/>
          <w:sz w:val="20"/>
        </w:rPr>
        <w:t>Key Performance Metrics and Non-GAAP Financial Measures”</w:t>
      </w:r>
      <w:r>
        <w:rPr>
          <w:rFonts w:ascii="Times New Roman;Times;serif" w:hAnsi="Times New Roman;Times;serif"/>
          <w:sz w:val="20"/>
        </w:rPr>
        <w:t xml:space="preserve"> section for additional information on gross profit.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Performance Metrics and 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focus on several key metrics in evaluating the success of our business relationships and our resulting financial position and operating performance. Our key metrics of Gross Profit and EBITDA are “non-GAAP financial measures.” Our management periodically uses certain “non-GAAP financial measures,” as such term is defined under the rules of the SEC, to supplement our financial information presented in accordance with GAAP and to clarify and enhance understanding of past performance and prospects for the future. Generally, a non-GAAP financial measure is a numerical measure of a company’s operating performance, financial position or cash flows that excludes or includes amounts that are included in or excluded from the most directly comparable measure calculated and presented in accordance with GAAP. Management believes that the non-GAAP financial measures of Gross Profit and EBITDA provide investors and analysts useful insight into our financial position and operating performance. Any non-GAAP measure provided should be viewed in addition to, and not as an alternative to, the most directly comparable measure determined in accordance with U.S. GAAP. Further, the calculation of these non-GAAP financial measures may differ from the calculation of similarly titled financial measures presented by other companies and therefore may not be comparable among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is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EBITDA is a non-GAAP financial measure defined as net income plus interest expense, provision for income taxes, and depreciation and amortization. The Company presents EBITDA because management believes that it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reconciliation of our non-GAAP financial measures to their most directly comparable GAAP financial measures appears below in the footnotes to the table of our key operating, business and financial metrics.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key operating, business and financial metrics are as follows:</w:t>
      </w:r>
    </w:p>
    <w:p>
      <w:pPr>
        <w:pStyle w:val="TextBody"/>
        <w:bidi w:val="0"/>
        <w:spacing w:before="0" w:after="0"/>
        <w:ind w:left="0" w:right="0" w:hanging="0"/>
        <w:jc w:val="left"/>
        <w:rPr/>
      </w:pPr>
      <w:r>
        <w:rPr/>
        <w:t>​</w:t>
      </w:r>
    </w:p>
    <w:tbl>
      <w:tblPr>
        <w:tblW w:w="7195" w:type="dxa"/>
        <w:jc w:val="left"/>
        <w:tblInd w:w="0" w:type="dxa"/>
        <w:tblLayout w:type="fixed"/>
        <w:tblCellMar>
          <w:top w:w="0" w:type="dxa"/>
          <w:left w:w="0" w:type="dxa"/>
          <w:bottom w:w="0" w:type="dxa"/>
          <w:right w:w="0" w:type="dxa"/>
        </w:tblCellMar>
      </w:tblPr>
      <w:tblGrid>
        <w:gridCol w:w="3286"/>
        <w:gridCol w:w="326"/>
        <w:gridCol w:w="482"/>
        <w:gridCol w:w="1065"/>
        <w:gridCol w:w="249"/>
        <w:gridCol w:w="482"/>
        <w:gridCol w:w="1305"/>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86610" cy="175260"/>
                      <wp:effectExtent l="0" t="0" r="0" b="0"/>
                      <wp:wrapNone/>
                      <wp:docPr id="161" name="Frame161"/>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06070" cy="175260"/>
                      <wp:effectExtent l="0" t="0" r="0" b="0"/>
                      <wp:wrapNone/>
                      <wp:docPr id="163" name="Frame163"/>
                      <a:graphic xmlns:a="http://schemas.openxmlformats.org/drawingml/2006/main">
                        <a:graphicData uri="http://schemas.microsoft.com/office/word/2010/wordprocessingShape">
                          <wps:wsp>
                            <wps:cNvSpPr txBox="1"/>
                            <wps:spPr>
                              <a:xfrm>
                                <a:off x="0" y="0"/>
                                <a:ext cx="306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76275" cy="175260"/>
                      <wp:effectExtent l="0" t="0" r="0" b="0"/>
                      <wp:wrapNone/>
                      <wp:docPr id="164" name="Frame164"/>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58115" cy="175260"/>
                      <wp:effectExtent l="0" t="0" r="0" b="0"/>
                      <wp:wrapNone/>
                      <wp:docPr id="165" name="Frame16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06070" cy="175260"/>
                      <wp:effectExtent l="0" t="0" r="0" b="0"/>
                      <wp:wrapNone/>
                      <wp:docPr id="166" name="Frame166"/>
                      <a:graphic xmlns:a="http://schemas.openxmlformats.org/drawingml/2006/main">
                        <a:graphicData uri="http://schemas.microsoft.com/office/word/2010/wordprocessingShape">
                          <wps:wsp>
                            <wps:cNvSpPr txBox="1"/>
                            <wps:spPr>
                              <a:xfrm>
                                <a:off x="0" y="0"/>
                                <a:ext cx="306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828675" cy="175260"/>
                      <wp:effectExtent l="0" t="0" r="0" b="0"/>
                      <wp:wrapNone/>
                      <wp:docPr id="167" name="Frame167"/>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and for the Periods Ended September 30, </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Operating Metric (dollars in billions)</w:t>
            </w:r>
          </w:p>
        </w:tc>
        <w:tc>
          <w:tcPr>
            <w:tcW w:w="326" w:type="dxa"/>
            <w:tcBorders/>
            <w:vAlign w:val="center"/>
          </w:tcPr>
          <w:p>
            <w:pPr>
              <w:pStyle w:val="TableContents"/>
              <w:bidi w:val="0"/>
              <w:spacing w:before="0" w:after="0"/>
              <w:ind w:left="0" w:right="0" w:hanging="0"/>
              <w:jc w:val="left"/>
              <w:rPr/>
            </w:pPr>
            <w:r>
              <w:rPr/>
              <w:t>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49" w:type="dxa"/>
            <w:tcBorders/>
            <w:vAlign w:val="center"/>
          </w:tcPr>
          <w:p>
            <w:pPr>
              <w:pStyle w:val="TableContents"/>
              <w:bidi w:val="0"/>
              <w:spacing w:before="0" w:after="0"/>
              <w:ind w:left="0" w:right="0" w:hanging="0"/>
              <w:jc w:val="left"/>
              <w:rPr/>
            </w:pPr>
            <w:r>
              <w:rPr/>
              <w:t>​</w:t>
            </w:r>
          </w:p>
        </w:tc>
        <w:tc>
          <w:tcPr>
            <w:tcW w:w="1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Advisory and Brokerage Assets</w:t>
            </w:r>
          </w:p>
        </w:tc>
        <w:tc>
          <w:tcPr>
            <w:tcW w:w="326" w:type="dxa"/>
            <w:tcBorders/>
            <w:vAlign w:val="center"/>
          </w:tcPr>
          <w:p>
            <w:pPr>
              <w:pStyle w:val="TableContents"/>
              <w:bidi w:val="0"/>
              <w:spacing w:before="0" w:after="0"/>
              <w:ind w:left="0" w:right="0" w:hanging="0"/>
              <w:jc w:val="left"/>
              <w:rPr/>
            </w:pPr>
            <w:r>
              <w:rPr/>
              <w:t> </w:t>
            </w:r>
          </w:p>
        </w:tc>
        <w:tc>
          <w:tcPr>
            <w:tcW w:w="482"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left"/>
              <w:rPr/>
            </w:pPr>
            <w:r>
              <w:rPr/>
              <w:t>​</w:t>
            </w:r>
          </w:p>
        </w:tc>
        <w:tc>
          <w:tcPr>
            <w:tcW w:w="1305" w:type="dxa"/>
            <w:tcBorders/>
            <w:vAlign w:val="center"/>
          </w:tcPr>
          <w:p>
            <w:pPr>
              <w:pStyle w:val="TableContents"/>
              <w:bidi w:val="0"/>
              <w:spacing w:before="0" w:after="0"/>
              <w:ind w:left="0" w:right="0" w:hanging="0"/>
              <w:jc w:val="right"/>
              <w:rPr/>
            </w:pPr>
            <w:r>
              <w:rPr/>
              <w:t>  </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Brokerage assets</w:t>
            </w:r>
          </w:p>
        </w:tc>
        <w:tc>
          <w:tcPr>
            <w:tcW w:w="326"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249"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Advisory assets</w:t>
            </w:r>
          </w:p>
        </w:tc>
        <w:tc>
          <w:tcPr>
            <w:tcW w:w="326"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249"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Advisory and Brokerage Assets</w:t>
            </w:r>
          </w:p>
        </w:tc>
        <w:tc>
          <w:tcPr>
            <w:tcW w:w="326"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249"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27.0</w:t>
            </w:r>
          </w:p>
        </w:tc>
      </w:tr>
    </w:tbl>
    <w:p>
      <w:pPr>
        <w:pStyle w:val="TextBody"/>
        <w:bidi w:val="0"/>
        <w:spacing w:before="0" w:after="0"/>
        <w:ind w:left="0" w:right="0" w:hanging="0"/>
        <w:jc w:val="left"/>
        <w:rPr/>
      </w:pPr>
      <w:r>
        <w:rPr/>
        <w:t>​</w:t>
      </w:r>
    </w:p>
    <w:tbl>
      <w:tblPr>
        <w:tblW w:w="8210" w:type="dxa"/>
        <w:jc w:val="left"/>
        <w:tblInd w:w="0" w:type="dxa"/>
        <w:tblLayout w:type="fixed"/>
        <w:tblCellMar>
          <w:top w:w="0" w:type="dxa"/>
          <w:left w:w="0" w:type="dxa"/>
          <w:bottom w:w="0" w:type="dxa"/>
          <w:right w:w="0" w:type="dxa"/>
        </w:tblCellMar>
      </w:tblPr>
      <w:tblGrid>
        <w:gridCol w:w="2146"/>
        <w:gridCol w:w="326"/>
        <w:gridCol w:w="362"/>
        <w:gridCol w:w="826"/>
        <w:gridCol w:w="559"/>
        <w:gridCol w:w="362"/>
        <w:gridCol w:w="620"/>
        <w:gridCol w:w="326"/>
        <w:gridCol w:w="322"/>
        <w:gridCol w:w="736"/>
        <w:gridCol w:w="498"/>
        <w:gridCol w:w="322"/>
        <w:gridCol w:w="805"/>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62710" cy="175260"/>
                      <wp:effectExtent l="0" t="0" r="0" b="0"/>
                      <wp:wrapNone/>
                      <wp:docPr id="168" name="Frame168"/>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29870" cy="175260"/>
                      <wp:effectExtent l="0" t="0" r="0" b="0"/>
                      <wp:wrapNone/>
                      <wp:docPr id="170" name="Frame170"/>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24510" cy="175260"/>
                      <wp:effectExtent l="0" t="0" r="0" b="0"/>
                      <wp:wrapNone/>
                      <wp:docPr id="171" name="Frame17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54965" cy="175260"/>
                      <wp:effectExtent l="0" t="0" r="0" b="0"/>
                      <wp:wrapNone/>
                      <wp:docPr id="172" name="Frame172"/>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29870" cy="175260"/>
                      <wp:effectExtent l="0" t="0" r="0" b="0"/>
                      <wp:wrapNone/>
                      <wp:docPr id="173" name="Frame173"/>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93700" cy="175260"/>
                      <wp:effectExtent l="0" t="0" r="0" b="0"/>
                      <wp:wrapNone/>
                      <wp:docPr id="174" name="Frame174"/>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4470" cy="175260"/>
                      <wp:effectExtent l="0" t="0" r="0" b="0"/>
                      <wp:wrapNone/>
                      <wp:docPr id="176" name="Frame176"/>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67360" cy="175260"/>
                      <wp:effectExtent l="0" t="0" r="0" b="0"/>
                      <wp:wrapNone/>
                      <wp:docPr id="177" name="Frame17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16230" cy="175260"/>
                      <wp:effectExtent l="0" t="0" r="0" b="0"/>
                      <wp:wrapNone/>
                      <wp:docPr id="178" name="Frame178"/>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4470" cy="175260"/>
                      <wp:effectExtent l="0" t="0" r="0" b="0"/>
                      <wp:wrapNone/>
                      <wp:docPr id="179" name="Frame179"/>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11175" cy="175260"/>
                      <wp:effectExtent l="0" t="0" r="0" b="0"/>
                      <wp:wrapNone/>
                      <wp:docPr id="180" name="Frame180"/>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New Assets</w:t>
            </w:r>
          </w:p>
        </w:tc>
        <w:tc>
          <w:tcPr>
            <w:tcW w:w="326" w:type="dxa"/>
            <w:tcBorders/>
            <w:vAlign w:val="center"/>
          </w:tcPr>
          <w:p>
            <w:pPr>
              <w:pStyle w:val="TableContents"/>
              <w:bidi w:val="0"/>
              <w:spacing w:before="0" w:after="0"/>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59" w:type="dxa"/>
            <w:tcBorders/>
            <w:vAlign w:val="center"/>
          </w:tcPr>
          <w:p>
            <w:pPr>
              <w:pStyle w:val="TableContents"/>
              <w:bidi w:val="0"/>
              <w:spacing w:before="0" w:after="0"/>
              <w:ind w:left="0" w:right="0" w:hanging="0"/>
              <w:jc w:val="center"/>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98" w:type="dxa"/>
            <w:tcBorders/>
            <w:vAlign w:val="center"/>
          </w:tcPr>
          <w:p>
            <w:pPr>
              <w:pStyle w:val="TableContents"/>
              <w:bidi w:val="0"/>
              <w:spacing w:before="0" w:after="0"/>
              <w:ind w:left="0" w:right="0" w:hanging="0"/>
              <w:jc w:val="center"/>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new brokerage assets</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559"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98"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new advisory assets</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59"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498"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New Assets</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559"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98"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184" w:type="dxa"/>
        <w:jc w:val="left"/>
        <w:tblInd w:w="0" w:type="dxa"/>
        <w:tblLayout w:type="fixed"/>
        <w:tblCellMar>
          <w:top w:w="0" w:type="dxa"/>
          <w:left w:w="0" w:type="dxa"/>
          <w:bottom w:w="0" w:type="dxa"/>
          <w:right w:w="0" w:type="dxa"/>
        </w:tblCellMar>
      </w:tblPr>
      <w:tblGrid>
        <w:gridCol w:w="4276"/>
        <w:gridCol w:w="326"/>
        <w:gridCol w:w="267"/>
        <w:gridCol w:w="589"/>
        <w:gridCol w:w="412"/>
        <w:gridCol w:w="267"/>
        <w:gridCol w:w="608"/>
        <w:gridCol w:w="326"/>
        <w:gridCol w:w="230"/>
        <w:gridCol w:w="624"/>
        <w:gridCol w:w="356"/>
        <w:gridCol w:w="230"/>
        <w:gridCol w:w="673"/>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715260" cy="175260"/>
                      <wp:effectExtent l="0" t="0" r="0" b="0"/>
                      <wp:wrapNone/>
                      <wp:docPr id="181" name="Frame181"/>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69545" cy="175260"/>
                      <wp:effectExtent l="0" t="0" r="0" b="0"/>
                      <wp:wrapNone/>
                      <wp:docPr id="183" name="Frame18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74015" cy="175260"/>
                      <wp:effectExtent l="0" t="0" r="0" b="0"/>
                      <wp:wrapNone/>
                      <wp:docPr id="184" name="Frame184"/>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61620" cy="175260"/>
                      <wp:effectExtent l="0" t="0" r="0" b="0"/>
                      <wp:wrapNone/>
                      <wp:docPr id="185" name="Frame185"/>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69545" cy="175260"/>
                      <wp:effectExtent l="0" t="0" r="0" b="0"/>
                      <wp:wrapNone/>
                      <wp:docPr id="186" name="Frame18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86080" cy="175260"/>
                      <wp:effectExtent l="0" t="0" r="0" b="0"/>
                      <wp:wrapNone/>
                      <wp:docPr id="187" name="Frame187"/>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46050" cy="175260"/>
                      <wp:effectExtent l="0" t="0" r="0" b="0"/>
                      <wp:wrapNone/>
                      <wp:docPr id="189" name="Frame18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96240" cy="175260"/>
                      <wp:effectExtent l="0" t="0" r="0" b="0"/>
                      <wp:wrapNone/>
                      <wp:docPr id="190" name="Frame190"/>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26060" cy="175260"/>
                      <wp:effectExtent l="0" t="0" r="0" b="0"/>
                      <wp:wrapNone/>
                      <wp:docPr id="191" name="Frame19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46050" cy="175260"/>
                      <wp:effectExtent l="0" t="0" r="0" b="0"/>
                      <wp:wrapNone/>
                      <wp:docPr id="192" name="Frame19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27355" cy="175260"/>
                      <wp:effectExtent l="0" t="0" r="0" b="0"/>
                      <wp:wrapNone/>
                      <wp:docPr id="193" name="Frame193"/>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1"/>
              <w:ind w:left="0" w:right="0" w:hanging="0"/>
              <w:jc w:val="left"/>
              <w:rPr/>
            </w:pPr>
            <w:r>
              <w:rPr/>
              <w:t>​</w:t>
            </w:r>
          </w:p>
        </w:tc>
        <w:tc>
          <w:tcPr>
            <w:tcW w:w="211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4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Financial Metrics (dollars in millions)</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2" w:type="dxa"/>
            <w:tcBorders/>
            <w:vAlign w:val="center"/>
          </w:tcPr>
          <w:p>
            <w:pPr>
              <w:pStyle w:val="TableContents"/>
              <w:bidi w:val="0"/>
              <w:spacing w:before="0" w:after="1"/>
              <w:ind w:left="0" w:right="0" w:hanging="0"/>
              <w:jc w:val="center"/>
              <w:rPr/>
            </w:pPr>
            <w:r>
              <w:rPr/>
              <w:t>    </w:t>
            </w:r>
          </w:p>
        </w:tc>
        <w:tc>
          <w:tcPr>
            <w:tcW w:w="8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6" w:type="dxa"/>
            <w:tcBorders/>
            <w:vAlign w:val="center"/>
          </w:tcPr>
          <w:p>
            <w:pPr>
              <w:pStyle w:val="TableContents"/>
              <w:bidi w:val="0"/>
              <w:spacing w:before="0" w:after="1"/>
              <w:ind w:left="0" w:right="0" w:hanging="0"/>
              <w:jc w:val="center"/>
              <w:rPr/>
            </w:pPr>
            <w:r>
              <w:rPr/>
              <w:t>    </w:t>
            </w:r>
          </w:p>
        </w:tc>
        <w:tc>
          <w:tcPr>
            <w:tcW w:w="9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412"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c>
          <w:tcPr>
            <w:tcW w:w="35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412"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5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Non-GAAP Financial Metrics (dollars in millions)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4"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Gross Profit</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412"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5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EBITDA</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412"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5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0.9</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Gross profit is a non-GAAP financial measure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 Below is a calculation of gross profit for the periods presented (in millions):</w:t>
            </w:r>
          </w:p>
        </w:tc>
      </w:tr>
    </w:tbl>
    <w:tbl>
      <w:tblPr>
        <w:tblW w:w="8915" w:type="dxa"/>
        <w:jc w:val="left"/>
        <w:tblInd w:w="0" w:type="dxa"/>
        <w:tblLayout w:type="fixed"/>
        <w:tblCellMar>
          <w:top w:w="0" w:type="dxa"/>
          <w:left w:w="0" w:type="dxa"/>
          <w:bottom w:w="0" w:type="dxa"/>
          <w:right w:w="0" w:type="dxa"/>
        </w:tblCellMar>
      </w:tblPr>
      <w:tblGrid>
        <w:gridCol w:w="1846"/>
        <w:gridCol w:w="326"/>
        <w:gridCol w:w="405"/>
        <w:gridCol w:w="894"/>
        <w:gridCol w:w="625"/>
        <w:gridCol w:w="405"/>
        <w:gridCol w:w="894"/>
        <w:gridCol w:w="326"/>
        <w:gridCol w:w="348"/>
        <w:gridCol w:w="943"/>
        <w:gridCol w:w="538"/>
        <w:gridCol w:w="348"/>
        <w:gridCol w:w="1017"/>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172210" cy="175260"/>
                      <wp:effectExtent l="0" t="0" r="0" b="0"/>
                      <wp:wrapNone/>
                      <wp:docPr id="194" name="Frame194"/>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57175" cy="175260"/>
                      <wp:effectExtent l="0" t="0" r="0" b="0"/>
                      <wp:wrapNone/>
                      <wp:docPr id="196" name="Frame196"/>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67690" cy="175260"/>
                      <wp:effectExtent l="0" t="0" r="0" b="0"/>
                      <wp:wrapNone/>
                      <wp:docPr id="197" name="Frame197"/>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96875" cy="175260"/>
                      <wp:effectExtent l="0" t="0" r="0" b="0"/>
                      <wp:wrapNone/>
                      <wp:docPr id="198" name="Frame198"/>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57175" cy="175260"/>
                      <wp:effectExtent l="0" t="0" r="0" b="0"/>
                      <wp:wrapNone/>
                      <wp:docPr id="199" name="Frame199"/>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67690" cy="175260"/>
                      <wp:effectExtent l="0" t="0" r="0" b="0"/>
                      <wp:wrapNone/>
                      <wp:docPr id="200" name="Frame200"/>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0980" cy="175260"/>
                      <wp:effectExtent l="0" t="0" r="0" b="0"/>
                      <wp:wrapNone/>
                      <wp:docPr id="202" name="Frame202"/>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98805" cy="175260"/>
                      <wp:effectExtent l="0" t="0" r="0" b="0"/>
                      <wp:wrapNone/>
                      <wp:docPr id="203" name="Frame203"/>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41630" cy="175260"/>
                      <wp:effectExtent l="0" t="0" r="0" b="0"/>
                      <wp:wrapNone/>
                      <wp:docPr id="204" name="Frame204"/>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20980" cy="175260"/>
                      <wp:effectExtent l="0" t="0" r="0" b="0"/>
                      <wp:wrapNone/>
                      <wp:docPr id="205" name="Frame205"/>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5795" cy="175260"/>
                      <wp:effectExtent l="0" t="0" r="0" b="0"/>
                      <wp:wrapNone/>
                      <wp:docPr id="206" name="Frame206"/>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vAlign w:val="center"/>
          </w:tcPr>
          <w:p>
            <w:pPr>
              <w:pStyle w:val="TableContents"/>
              <w:bidi w:val="0"/>
              <w:spacing w:before="0" w:after="0"/>
              <w:ind w:left="0" w:right="0" w:hanging="0"/>
              <w:jc w:val="left"/>
              <w:rPr/>
            </w:pPr>
            <w:r>
              <w:rPr/>
              <w:t>​</w:t>
            </w:r>
          </w:p>
        </w:tc>
        <w:tc>
          <w:tcPr>
            <w:tcW w:w="31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Gross Profit</w:t>
            </w:r>
          </w:p>
        </w:tc>
        <w:tc>
          <w:tcPr>
            <w:tcW w:w="326" w:type="dxa"/>
            <w:tcBorders/>
            <w:vAlign w:val="center"/>
          </w:tcPr>
          <w:p>
            <w:pPr>
              <w:pStyle w:val="TableContents"/>
              <w:bidi w:val="0"/>
              <w:spacing w:before="0" w:after="0"/>
              <w:ind w:left="0" w:right="0" w:hanging="0"/>
              <w:jc w:val="left"/>
              <w:rPr/>
            </w:pPr>
            <w:r>
              <w:rPr/>
              <w:t>    </w:t>
            </w:r>
          </w:p>
        </w:tc>
        <w:tc>
          <w:tcPr>
            <w:tcW w:w="12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25" w:type="dxa"/>
            <w:tcBorders/>
            <w:vAlign w:val="center"/>
          </w:tcPr>
          <w:p>
            <w:pPr>
              <w:pStyle w:val="TableContents"/>
              <w:bidi w:val="0"/>
              <w:spacing w:before="0" w:after="0"/>
              <w:ind w:left="0" w:right="0" w:hanging="0"/>
              <w:jc w:val="left"/>
              <w:rPr/>
            </w:pPr>
            <w:r>
              <w:rPr/>
              <w:t>    </w:t>
            </w:r>
          </w:p>
        </w:tc>
        <w:tc>
          <w:tcPr>
            <w:tcW w:w="12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38" w:type="dxa"/>
            <w:tcBorders/>
            <w:vAlign w:val="center"/>
          </w:tcPr>
          <w:p>
            <w:pPr>
              <w:pStyle w:val="TableContents"/>
              <w:bidi w:val="0"/>
              <w:spacing w:before="0" w:after="0"/>
              <w:ind w:left="0" w:right="0" w:hanging="0"/>
              <w:jc w:val="left"/>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625"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w:t>
            </w:r>
          </w:p>
        </w:tc>
        <w:tc>
          <w:tcPr>
            <w:tcW w:w="538"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 and fees</w:t>
            </w:r>
          </w:p>
        </w:tc>
        <w:tc>
          <w:tcPr>
            <w:tcW w:w="326" w:type="dxa"/>
            <w:tcBorders/>
            <w:vAlign w:val="center"/>
          </w:tcPr>
          <w:p>
            <w:pPr>
              <w:pStyle w:val="TableContents"/>
              <w:bidi w:val="0"/>
              <w:spacing w:before="0" w:after="0"/>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625" w:type="dxa"/>
            <w:tcBorders/>
            <w:vAlign w:val="center"/>
          </w:tcPr>
          <w:p>
            <w:pPr>
              <w:pStyle w:val="TableContents"/>
              <w:bidi w:val="0"/>
              <w:spacing w:before="0" w:after="0"/>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26"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538"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625" w:type="dxa"/>
            <w:tcBorders/>
            <w:shd w:fill="CCEEFF" w:val="clear"/>
            <w:vAlign w:val="center"/>
          </w:tcPr>
          <w:p>
            <w:pPr>
              <w:pStyle w:val="TableContents"/>
              <w:bidi w:val="0"/>
              <w:spacing w:before="0" w:after="0"/>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538"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23.5</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EBITDA is a non-GAAP financial measure defined as net income plus interest expense, provision for income taxes, share-based compensation and depreciation and amortization. The Company presents EBITDA because management believes that it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 Below is a reconciliation of net income to EBITDA for the periods presented (in millions):</w:t>
            </w:r>
          </w:p>
        </w:tc>
      </w:tr>
    </w:tbl>
    <w:p>
      <w:pPr>
        <w:pStyle w:val="TextBody"/>
        <w:bidi w:val="0"/>
        <w:spacing w:before="0" w:after="0"/>
        <w:ind w:left="0" w:right="0" w:hanging="0"/>
        <w:jc w:val="both"/>
        <w:rPr/>
      </w:pPr>
      <w:r>
        <w:rPr/>
        <w:t>​</w:t>
      </w:r>
    </w:p>
    <w:tbl>
      <w:tblPr>
        <w:tblW w:w="9666" w:type="dxa"/>
        <w:jc w:val="left"/>
        <w:tblInd w:w="0" w:type="dxa"/>
        <w:tblLayout w:type="fixed"/>
        <w:tblCellMar>
          <w:top w:w="0" w:type="dxa"/>
          <w:left w:w="0" w:type="dxa"/>
          <w:bottom w:w="0" w:type="dxa"/>
          <w:right w:w="0" w:type="dxa"/>
        </w:tblCellMar>
      </w:tblPr>
      <w:tblGrid>
        <w:gridCol w:w="2596"/>
        <w:gridCol w:w="326"/>
        <w:gridCol w:w="428"/>
        <w:gridCol w:w="732"/>
        <w:gridCol w:w="661"/>
        <w:gridCol w:w="428"/>
        <w:gridCol w:w="975"/>
        <w:gridCol w:w="326"/>
        <w:gridCol w:w="412"/>
        <w:gridCol w:w="705"/>
        <w:gridCol w:w="637"/>
        <w:gridCol w:w="412"/>
        <w:gridCol w:w="1028"/>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48460" cy="175260"/>
                      <wp:effectExtent l="0" t="0" r="0" b="0"/>
                      <wp:wrapNone/>
                      <wp:docPr id="207" name="Frame20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71780" cy="175260"/>
                      <wp:effectExtent l="0" t="0" r="0" b="0"/>
                      <wp:wrapNone/>
                      <wp:docPr id="209" name="Frame209"/>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64820" cy="175260"/>
                      <wp:effectExtent l="0" t="0" r="0" b="0"/>
                      <wp:wrapNone/>
                      <wp:docPr id="210" name="Frame210"/>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19735" cy="175260"/>
                      <wp:effectExtent l="0" t="0" r="0" b="0"/>
                      <wp:wrapNone/>
                      <wp:docPr id="211" name="Frame21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71780" cy="175260"/>
                      <wp:effectExtent l="0" t="0" r="0" b="0"/>
                      <wp:wrapNone/>
                      <wp:docPr id="212" name="Frame212"/>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19125" cy="175260"/>
                      <wp:effectExtent l="0" t="0" r="0" b="0"/>
                      <wp:wrapNone/>
                      <wp:docPr id="213" name="Frame213"/>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61620" cy="175260"/>
                      <wp:effectExtent l="0" t="0" r="0" b="0"/>
                      <wp:wrapNone/>
                      <wp:docPr id="215" name="Frame215"/>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47675" cy="175260"/>
                      <wp:effectExtent l="0" t="0" r="0" b="0"/>
                      <wp:wrapNone/>
                      <wp:docPr id="216" name="Frame216"/>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04495" cy="175260"/>
                      <wp:effectExtent l="0" t="0" r="0" b="0"/>
                      <wp:wrapNone/>
                      <wp:docPr id="217" name="Frame217"/>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61620" cy="175260"/>
                      <wp:effectExtent l="0" t="0" r="0" b="0"/>
                      <wp:wrapNone/>
                      <wp:docPr id="218" name="Frame218"/>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52780" cy="175260"/>
                      <wp:effectExtent l="0" t="0" r="0" b="0"/>
                      <wp:wrapNone/>
                      <wp:docPr id="219" name="Frame219"/>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2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vAlign w:val="center"/>
          </w:tcPr>
          <w:p>
            <w:pPr>
              <w:pStyle w:val="TableContents"/>
              <w:bidi w:val="0"/>
              <w:spacing w:before="0" w:after="1"/>
              <w:ind w:left="0" w:right="0" w:hanging="0"/>
              <w:jc w:val="left"/>
              <w:rPr/>
            </w:pPr>
            <w:r>
              <w:rPr/>
              <w:t>​</w:t>
            </w:r>
          </w:p>
        </w:tc>
        <w:tc>
          <w:tcPr>
            <w:tcW w:w="319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EBITDA Reconciliation</w:t>
            </w:r>
          </w:p>
        </w:tc>
        <w:tc>
          <w:tcPr>
            <w:tcW w:w="326" w:type="dxa"/>
            <w:tcBorders/>
            <w:vAlign w:val="center"/>
          </w:tcPr>
          <w:p>
            <w:pPr>
              <w:pStyle w:val="TableContents"/>
              <w:bidi w:val="0"/>
              <w:spacing w:before="0" w:after="1"/>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61" w:type="dxa"/>
            <w:tcBorders/>
            <w:vAlign w:val="center"/>
          </w:tcPr>
          <w:p>
            <w:pPr>
              <w:pStyle w:val="TableContents"/>
              <w:bidi w:val="0"/>
              <w:spacing w:before="0" w:after="1"/>
              <w:ind w:left="0" w:right="0" w:hanging="0"/>
              <w:jc w:val="left"/>
              <w:rPr/>
            </w:pPr>
            <w:r>
              <w:rPr/>
              <w:t>    </w:t>
            </w:r>
          </w:p>
        </w:tc>
        <w:tc>
          <w:tcPr>
            <w:tcW w:w="14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37" w:type="dxa"/>
            <w:tcBorders/>
            <w:vAlign w:val="center"/>
          </w:tcPr>
          <w:p>
            <w:pPr>
              <w:pStyle w:val="TableContents"/>
              <w:bidi w:val="0"/>
              <w:spacing w:before="0" w:after="1"/>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4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661" w:type="dxa"/>
            <w:tcBorders/>
            <w:shd w:fill="CCEEFF" w:val="clear"/>
            <w:vAlign w:val="center"/>
          </w:tcPr>
          <w:p>
            <w:pPr>
              <w:pStyle w:val="TableContents"/>
              <w:bidi w:val="0"/>
              <w:spacing w:before="0" w:after="1"/>
              <w:ind w:left="0" w:right="0" w:hanging="0"/>
              <w:jc w:val="left"/>
              <w:rPr/>
            </w:pPr>
            <w:r>
              <w:rPr/>
              <w:t>​</w:t>
            </w:r>
          </w:p>
        </w:tc>
        <w:tc>
          <w:tcPr>
            <w:tcW w:w="4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637"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661"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left"/>
              <w:rPr/>
            </w:pPr>
            <w:r>
              <w:rPr/>
              <w:t>​</w:t>
            </w:r>
          </w:p>
        </w:tc>
        <w:tc>
          <w:tcPr>
            <w:tcW w:w="9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 </w:t>
            </w:r>
          </w:p>
        </w:tc>
        <w:tc>
          <w:tcPr>
            <w:tcW w:w="7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637"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4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661" w:type="dxa"/>
            <w:tcBorders/>
            <w:shd w:fill="CCEEFF" w:val="clear"/>
            <w:vAlign w:val="center"/>
          </w:tcPr>
          <w:p>
            <w:pPr>
              <w:pStyle w:val="TableContents"/>
              <w:bidi w:val="0"/>
              <w:spacing w:before="0" w:after="1"/>
              <w:ind w:left="0" w:right="0" w:hanging="0"/>
              <w:jc w:val="left"/>
              <w:rPr/>
            </w:pPr>
            <w:r>
              <w:rPr/>
              <w:t>​</w:t>
            </w:r>
          </w:p>
        </w:tc>
        <w:tc>
          <w:tcPr>
            <w:tcW w:w="428" w:type="dxa"/>
            <w:tcBorders/>
            <w:shd w:fill="CCEEFF" w:val="clear"/>
            <w:vAlign w:val="center"/>
          </w:tcPr>
          <w:p>
            <w:pPr>
              <w:pStyle w:val="TableContents"/>
              <w:bidi w:val="0"/>
              <w:spacing w:before="0" w:after="1"/>
              <w:ind w:left="0" w:right="0" w:hanging="0"/>
              <w:jc w:val="left"/>
              <w:rPr/>
            </w:pPr>
            <w:r>
              <w:rPr/>
              <w:t>​</w:t>
            </w:r>
          </w:p>
        </w:tc>
        <w:tc>
          <w:tcPr>
            <w:tcW w:w="9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637"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661"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left"/>
              <w:rPr/>
            </w:pPr>
            <w:r>
              <w:rPr/>
              <w:t>​</w:t>
            </w:r>
          </w:p>
        </w:tc>
        <w:tc>
          <w:tcPr>
            <w:tcW w:w="9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 </w:t>
            </w:r>
          </w:p>
        </w:tc>
        <w:tc>
          <w:tcPr>
            <w:tcW w:w="7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637"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4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661" w:type="dxa"/>
            <w:tcBorders/>
            <w:shd w:fill="CCEEFF" w:val="clear"/>
            <w:vAlign w:val="center"/>
          </w:tcPr>
          <w:p>
            <w:pPr>
              <w:pStyle w:val="TableContents"/>
              <w:bidi w:val="0"/>
              <w:spacing w:before="0" w:after="1"/>
              <w:ind w:left="0" w:right="0" w:hanging="0"/>
              <w:jc w:val="left"/>
              <w:rPr/>
            </w:pPr>
            <w:r>
              <w:rPr/>
              <w:t>​</w:t>
            </w:r>
          </w:p>
        </w:tc>
        <w:tc>
          <w:tcPr>
            <w:tcW w:w="4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1"/>
              <w:ind w:left="0" w:right="0" w:hanging="0"/>
              <w:jc w:val="left"/>
              <w:rPr/>
            </w:pPr>
            <w:r>
              <w:rPr/>
              <w:t>​</w:t>
            </w:r>
          </w:p>
        </w:tc>
        <w:tc>
          <w:tcPr>
            <w:tcW w:w="4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637" w:type="dxa"/>
            <w:tcBorders/>
            <w:shd w:fill="CCEEFF" w:val="clear"/>
            <w:vAlign w:val="center"/>
          </w:tcPr>
          <w:p>
            <w:pPr>
              <w:pStyle w:val="TableContents"/>
              <w:bidi w:val="0"/>
              <w:spacing w:before="0" w:after="1"/>
              <w:ind w:left="0" w:right="0" w:hanging="0"/>
              <w:jc w:val="left"/>
              <w:rPr/>
            </w:pPr>
            <w:r>
              <w:rPr/>
              <w:t>​</w:t>
            </w:r>
          </w:p>
        </w:tc>
        <w:tc>
          <w:tcPr>
            <w:tcW w:w="4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26" w:type="dxa"/>
            <w:tcBorders/>
            <w:vAlign w:val="center"/>
          </w:tcPr>
          <w:p>
            <w:pPr>
              <w:pStyle w:val="TableContents"/>
              <w:bidi w:val="0"/>
              <w:spacing w:before="0" w:after="1"/>
              <w:ind w:left="0" w:right="0" w:hanging="0"/>
              <w:jc w:val="left"/>
              <w:rPr/>
            </w:pPr>
            <w:r>
              <w:rPr/>
              <w:t>​</w:t>
            </w:r>
          </w:p>
        </w:tc>
        <w:tc>
          <w:tcPr>
            <w:tcW w:w="4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661" w:type="dxa"/>
            <w:tcBorders/>
            <w:vAlign w:val="center"/>
          </w:tcPr>
          <w:p>
            <w:pPr>
              <w:pStyle w:val="TableContents"/>
              <w:bidi w:val="0"/>
              <w:spacing w:before="0" w:after="1"/>
              <w:ind w:left="0" w:right="0" w:hanging="0"/>
              <w:jc w:val="left"/>
              <w:rPr/>
            </w:pPr>
            <w:r>
              <w:rPr/>
              <w:t>​</w:t>
            </w:r>
          </w:p>
        </w:tc>
        <w:tc>
          <w:tcPr>
            <w:tcW w:w="4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vAlign w:val="center"/>
          </w:tcPr>
          <w:p>
            <w:pPr>
              <w:pStyle w:val="TableContents"/>
              <w:bidi w:val="0"/>
              <w:spacing w:before="0" w:after="1"/>
              <w:ind w:left="0" w:right="0" w:hanging="0"/>
              <w:jc w:val="left"/>
              <w:rPr/>
            </w:pPr>
            <w:r>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637" w:type="dxa"/>
            <w:tcBorders/>
            <w:vAlign w:val="center"/>
          </w:tcPr>
          <w:p>
            <w:pPr>
              <w:pStyle w:val="TableContents"/>
              <w:bidi w:val="0"/>
              <w:spacing w:before="0" w:after="1"/>
              <w:ind w:left="0" w:right="0" w:hanging="0"/>
              <w:jc w:val="left"/>
              <w:rPr/>
            </w:pPr>
            <w:r>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0.9</w:t>
            </w:r>
          </w:p>
        </w:tc>
      </w:tr>
    </w:tbl>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Economic Overview and Impact of Financial Market Events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business is directly and indirectly sensitive to several macroeconomic factors and the state of the United States financial markets.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According to the most recent estimate from the U.S. Bureau of Economic Analysis, the U.S. economy grew by approximately 3% in the third quarter of 2025. The U.S. economy added roughly sixty-six thousand jobs in the third quarter of 2025, while the unemployment rate was 4.3% in the third quarter of 2025, which is an increase over the previous quarter’s 4.1%.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business is also sensitive to current and expected short-term interest rates, which are largely driven by Fed policy. During the third quarter of 2025, Fed policymakers cut interest rates by 0.25% to a target range for the federal funds rate in the 4.00% to 4.25% range. The equity markets increased during the third quarter of 2025 resulting in the S&amp;P 500 increasing 8.1%, bringing the year-to-date performance to approximately 14.8%.</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Please consult the Factors Affecting Our Financial Condition and Results of Operations, including those described in the section titled “</w:t>
      </w:r>
      <w:r>
        <w:rPr>
          <w:rFonts w:ascii="Times New Roman;Times;serif" w:hAnsi="Times New Roman;Times;serif"/>
          <w:b/>
          <w:i/>
          <w:sz w:val="20"/>
        </w:rPr>
        <w:t>Risk Factors</w:t>
      </w:r>
      <w:r>
        <w:rPr>
          <w:rFonts w:ascii="Times New Roman;Times;serif" w:hAnsi="Times New Roman;Times;serif"/>
          <w:b/>
          <w:sz w:val="20"/>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condensed consolidated financial statements have been prepared in accordance with accounting principles generally accepted in the United States of America (“GAAP”). Currently, we conduct business through one operating segment. The condensed consolidated financial statements have been prepared assuming that we will continue as a going concern. See Note 2 in the accompanying condensed consolidated financial statements for further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presents an analysis of our results of operations for the three and nine-month periods ended September 30, 2025 and 2024 (</w:t>
      </w:r>
      <w:r>
        <w:rPr>
          <w:rFonts w:ascii="Times New Roman;Times;serif" w:hAnsi="Times New Roman;Times;serif"/>
          <w:i/>
          <w:sz w:val="20"/>
        </w:rPr>
        <w:t>in thousands</w:t>
      </w:r>
      <w:r>
        <w:rPr>
          <w:rFonts w:ascii="Times New Roman;Times;serif" w:hAnsi="Times New Roman;Times;serif"/>
          <w:sz w:val="20"/>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33"/>
        <w:gridCol w:w="326"/>
        <w:gridCol w:w="211"/>
        <w:gridCol w:w="676"/>
        <w:gridCol w:w="326"/>
        <w:gridCol w:w="211"/>
        <w:gridCol w:w="676"/>
        <w:gridCol w:w="326"/>
        <w:gridCol w:w="871"/>
        <w:gridCol w:w="326"/>
        <w:gridCol w:w="211"/>
        <w:gridCol w:w="781"/>
        <w:gridCol w:w="326"/>
        <w:gridCol w:w="211"/>
        <w:gridCol w:w="781"/>
        <w:gridCol w:w="326"/>
        <w:gridCol w:w="871"/>
        <w:gridCol w:w="316"/>
      </w:tblGrid>
      <w:tr>
        <w:trPr/>
        <w:tc>
          <w:tcPr>
            <w:tcW w:w="2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544955" cy="175260"/>
                      <wp:effectExtent l="0" t="0" r="0" b="0"/>
                      <wp:wrapNone/>
                      <wp:docPr id="220" name="Frame220"/>
                      <a:graphic xmlns:a="http://schemas.openxmlformats.org/drawingml/2006/main">
                        <a:graphicData uri="http://schemas.microsoft.com/office/word/2010/wordprocessingShape">
                          <wps:wsp>
                            <wps:cNvSpPr txBox="1"/>
                            <wps:spPr>
                              <a:xfrm>
                                <a:off x="0" y="0"/>
                                <a:ext cx="154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29260" cy="175260"/>
                      <wp:effectExtent l="0" t="0" r="0" b="0"/>
                      <wp:wrapNone/>
                      <wp:docPr id="223" name="Frame2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29260" cy="175260"/>
                      <wp:effectExtent l="0" t="0" r="0" b="0"/>
                      <wp:wrapNone/>
                      <wp:docPr id="226" name="Frame2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53085" cy="175260"/>
                      <wp:effectExtent l="0" t="0" r="0" b="0"/>
                      <wp:wrapNone/>
                      <wp:docPr id="228" name="Frame22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95935" cy="175260"/>
                      <wp:effectExtent l="0" t="0" r="0" b="0"/>
                      <wp:wrapNone/>
                      <wp:docPr id="231" name="Frame2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95935" cy="175260"/>
                      <wp:effectExtent l="0" t="0" r="0" b="0"/>
                      <wp:wrapNone/>
                      <wp:docPr id="234" name="Frame2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53085" cy="175260"/>
                      <wp:effectExtent l="0" t="0" r="0" b="0"/>
                      <wp:wrapNone/>
                      <wp:docPr id="236" name="Frame23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0660" cy="175260"/>
                      <wp:effectExtent l="0" t="0" r="0" b="0"/>
                      <wp:wrapNone/>
                      <wp:docPr id="237" name="Frame23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9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c>
          <w:tcPr>
            <w:tcW w:w="316" w:type="dxa"/>
            <w:tcBorders/>
            <w:vAlign w:val="center"/>
          </w:tcPr>
          <w:p>
            <w:pPr>
              <w:pStyle w:val="TableContents"/>
              <w:bidi w:val="0"/>
              <w:spacing w:before="0" w:after="0"/>
              <w:ind w:left="0" w:right="0" w:hanging="0"/>
              <w:jc w:val="left"/>
              <w:rPr/>
            </w:pPr>
            <w:r>
              <w:rPr/>
              <w:t> </w:t>
            </w:r>
          </w:p>
        </w:tc>
      </w:tr>
      <w:tr>
        <w:trPr/>
        <w:tc>
          <w:tcPr>
            <w:tcW w:w="24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Contracts with Customers: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34,780</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112,506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102,836</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6,247</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20,948</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18,250</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from Contracts with Customers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41,027</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133,454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121,086</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3,209</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42,197</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136,632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124,295</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26"/>
        <w:gridCol w:w="326"/>
        <w:gridCol w:w="211"/>
        <w:gridCol w:w="676"/>
        <w:gridCol w:w="326"/>
        <w:gridCol w:w="211"/>
        <w:gridCol w:w="682"/>
        <w:gridCol w:w="326"/>
        <w:gridCol w:w="871"/>
        <w:gridCol w:w="326"/>
        <w:gridCol w:w="211"/>
        <w:gridCol w:w="781"/>
        <w:gridCol w:w="326"/>
        <w:gridCol w:w="211"/>
        <w:gridCol w:w="781"/>
        <w:gridCol w:w="326"/>
        <w:gridCol w:w="871"/>
        <w:gridCol w:w="317"/>
      </w:tblGrid>
      <w:tr>
        <w:trPr/>
        <w:tc>
          <w:tcPr>
            <w:tcW w:w="2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540510" cy="175260"/>
                      <wp:effectExtent l="0" t="0" r="0" b="0"/>
                      <wp:wrapNone/>
                      <wp:docPr id="238" name="Frame238"/>
                      <a:graphic xmlns:a="http://schemas.openxmlformats.org/drawingml/2006/main">
                        <a:graphicData uri="http://schemas.microsoft.com/office/word/2010/wordprocessingShape">
                          <wps:wsp>
                            <wps:cNvSpPr txBox="1"/>
                            <wps:spPr>
                              <a:xfrm>
                                <a:off x="0" y="0"/>
                                <a:ext cx="154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29260" cy="175260"/>
                      <wp:effectExtent l="0" t="0" r="0" b="0"/>
                      <wp:wrapNone/>
                      <wp:docPr id="241" name="Frame2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33070" cy="175260"/>
                      <wp:effectExtent l="0" t="0" r="0" b="0"/>
                      <wp:wrapNone/>
                      <wp:docPr id="244" name="Frame244"/>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53085" cy="175260"/>
                      <wp:effectExtent l="0" t="0" r="0" b="0"/>
                      <wp:wrapNone/>
                      <wp:docPr id="246" name="Frame24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95935" cy="175260"/>
                      <wp:effectExtent l="0" t="0" r="0" b="0"/>
                      <wp:wrapNone/>
                      <wp:docPr id="249" name="Frame2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95935" cy="175260"/>
                      <wp:effectExtent l="0" t="0" r="0" b="0"/>
                      <wp:wrapNone/>
                      <wp:docPr id="252" name="Frame2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53085" cy="175260"/>
                      <wp:effectExtent l="0" t="0" r="0" b="0"/>
                      <wp:wrapNone/>
                      <wp:docPr id="254" name="Frame25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1295" cy="175260"/>
                      <wp:effectExtent l="0" t="0" r="0" b="0"/>
                      <wp:wrapNone/>
                      <wp:docPr id="255" name="Frame255"/>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0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vAlign w:val="center"/>
          </w:tcPr>
          <w:p>
            <w:pPr>
              <w:pStyle w:val="TableContents"/>
              <w:bidi w:val="0"/>
              <w:spacing w:before="0" w:after="1"/>
              <w:ind w:left="0" w:right="0" w:hanging="0"/>
              <w:jc w:val="left"/>
              <w:rPr/>
            </w:pPr>
            <w:r>
              <w:rPr/>
              <w:t> </w:t>
            </w:r>
          </w:p>
        </w:tc>
        <w:tc>
          <w:tcPr>
            <w:tcW w:w="350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w:t>
            </w:r>
          </w:p>
        </w:tc>
        <w:tc>
          <w:tcPr>
            <w:tcW w:w="317" w:type="dxa"/>
            <w:tcBorders/>
            <w:vAlign w:val="center"/>
          </w:tcPr>
          <w:p>
            <w:pPr>
              <w:pStyle w:val="TableContents"/>
              <w:bidi w:val="0"/>
              <w:spacing w:before="0" w:after="1"/>
              <w:ind w:left="0" w:right="0" w:hanging="0"/>
              <w:jc w:val="left"/>
              <w:rPr/>
            </w:pPr>
            <w:r>
              <w:rPr/>
              <w:t> </w:t>
            </w:r>
          </w:p>
        </w:tc>
      </w:tr>
      <w:tr>
        <w:trPr/>
        <w:tc>
          <w:tcPr>
            <w:tcW w:w="2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8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7" w:type="dxa"/>
            <w:tcBorders/>
            <w:vAlign w:val="center"/>
          </w:tcPr>
          <w:p>
            <w:pPr>
              <w:pStyle w:val="TableContents"/>
              <w:bidi w:val="0"/>
              <w:spacing w:before="0" w:after="1"/>
              <w:ind w:left="0" w:right="0" w:hanging="0"/>
              <w:jc w:val="left"/>
              <w:rPr/>
            </w:pPr>
            <w:r>
              <w:rPr/>
              <w:t> </w:t>
            </w:r>
          </w:p>
        </w:tc>
      </w:tr>
      <w:tr>
        <w:trPr/>
        <w:tc>
          <w:tcPr>
            <w:tcW w:w="24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8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center"/>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2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 and fees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37,202</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33,832</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110,240</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100,839</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3,937</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10,988</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and occupancy</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6,059</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fees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2,207</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(96.9)</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3,394</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2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44,248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42,810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133,785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126,872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2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provision for income taxes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418.1</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2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2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253.1</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(3,467)</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161.8</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Revenues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primary source of revenue is from fees and commissions from products and advisory services offered by our advisors to their clients, a substantial portion of which we pay out to our advisors. We also generate interest income in accordance with our agreements with our clearing partners. In accordance with ASC 606, Revenue from Contracts with Customers, we record revenue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Commissions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Commission revenues represent sales commissions generated by advisors for their clients’ purchases and sales of securities on exchanges and over-the-counter, as well as purchases of other investment products.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generates two types of commission revenues: sales-based commissions that are recognized at the point of sale on the trade date and trailing commissions that are recognized over time as earned. Sales-based commission revenues vary by investment product and are recognized on the trade date or the transaction date, which represents the completion of the Company’s performance obligation because that is when the underlying financial instrument or purchaser is identified, the pricing is agreed upon, and the risks and rewards of ownership have been transferred to/from the customer at a point in time. The rates at which commissions are charged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customers range from 1% to 7% based on the investment product. Trailing commission revenues which are preliminarily related to the sales of mutual funds and variable annuities held by clients of the Company’s advisors are generally based on a percentage of the current market value of clients’ investment holdings in trail-eligible assets, and are recognized over the time the client owns the investment or holds the contract and is generally based on a fixed rate applied, generally twenty-five to fifty basis points (25-50 bps) of the current market value of the clients’ holdings. Trailing commissions are generally received monthly or quarterly. The ongoing revenue is not recognized at the time of sale because it is variably constrained due to factors outside the Company’s control including market volatility and the client’s investment hold period and the Company does not believe that it can overcome such constraints until the market value of the fund and the investor activities are known. The revenues will not be recognized until it is probable that a significant reversal will not occur.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principal for the commission revenue, as it is responsible for the execution of the clients’ purchases and sales and maintains relationships with the product sponsors. Advisors assist the Company in performing it obligations. Accordingly, total commission revenue is reported on a gross basis. See Note 4 - Revenues From Contracts with Customers within the notes to the condensed consolidated financial statements for the three and nine-month periods ended September 30, 2025, and 2024 for further details regarding our commission revenue by product category.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tables sets forth the components of our commission revenue for the three and nine-month periods ended September 30, 2025 and 2024 (in thousands):</w:t>
      </w:r>
    </w:p>
    <w:tbl>
      <w:tblPr>
        <w:tblW w:w="8976" w:type="dxa"/>
        <w:jc w:val="left"/>
        <w:tblInd w:w="0" w:type="dxa"/>
        <w:tblLayout w:type="fixed"/>
        <w:tblCellMar>
          <w:top w:w="0" w:type="dxa"/>
          <w:left w:w="0" w:type="dxa"/>
          <w:bottom w:w="0" w:type="dxa"/>
          <w:right w:w="0" w:type="dxa"/>
        </w:tblCellMar>
      </w:tblPr>
      <w:tblGrid>
        <w:gridCol w:w="2266"/>
        <w:gridCol w:w="326"/>
        <w:gridCol w:w="342"/>
        <w:gridCol w:w="1268"/>
        <w:gridCol w:w="529"/>
        <w:gridCol w:w="342"/>
        <w:gridCol w:w="1268"/>
        <w:gridCol w:w="326"/>
        <w:gridCol w:w="127"/>
        <w:gridCol w:w="669"/>
        <w:gridCol w:w="326"/>
        <w:gridCol w:w="871"/>
        <w:gridCol w:w="31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438910" cy="175260"/>
                      <wp:effectExtent l="0" t="0" r="0" b="0"/>
                      <wp:wrapNone/>
                      <wp:docPr id="256" name="Frame256"/>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7170" cy="175260"/>
                      <wp:effectExtent l="0" t="0" r="0" b="0"/>
                      <wp:wrapNone/>
                      <wp:docPr id="258" name="Frame258"/>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805180" cy="175260"/>
                      <wp:effectExtent l="0" t="0" r="0" b="0"/>
                      <wp:wrapNone/>
                      <wp:docPr id="259" name="Frame259"/>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35915" cy="175260"/>
                      <wp:effectExtent l="0" t="0" r="0" b="0"/>
                      <wp:wrapNone/>
                      <wp:docPr id="260" name="Frame260"/>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7170" cy="175260"/>
                      <wp:effectExtent l="0" t="0" r="0" b="0"/>
                      <wp:wrapNone/>
                      <wp:docPr id="261" name="Frame261"/>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805180" cy="175260"/>
                      <wp:effectExtent l="0" t="0" r="0" b="0"/>
                      <wp:wrapNone/>
                      <wp:docPr id="262" name="Frame262"/>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80645" cy="175260"/>
                      <wp:effectExtent l="0" t="0" r="0" b="0"/>
                      <wp:wrapNone/>
                      <wp:docPr id="264" name="Frame264"/>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24815" cy="175260"/>
                      <wp:effectExtent l="0" t="0" r="0" b="0"/>
                      <wp:wrapNone/>
                      <wp:docPr id="265" name="Frame265"/>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53085" cy="175260"/>
                      <wp:effectExtent l="0" t="0" r="0" b="0"/>
                      <wp:wrapNone/>
                      <wp:docPr id="267" name="Frame26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0660" cy="175260"/>
                      <wp:effectExtent l="0" t="0" r="0" b="0"/>
                      <wp:wrapNone/>
                      <wp:docPr id="268" name="Frame2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7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three-month periods ended September 30, </w:t>
            </w:r>
          </w:p>
        </w:tc>
        <w:tc>
          <w:tcPr>
            <w:tcW w:w="326" w:type="dxa"/>
            <w:tcBorders/>
            <w:vAlign w:val="center"/>
          </w:tcPr>
          <w:p>
            <w:pPr>
              <w:pStyle w:val="TableContents"/>
              <w:bidi w:val="0"/>
              <w:spacing w:before="0" w:after="1"/>
              <w:ind w:left="0" w:right="0" w:hanging="0"/>
              <w:jc w:val="left"/>
              <w:rPr/>
            </w:pPr>
            <w:r>
              <w:rPr/>
              <w:t>​</w:t>
            </w:r>
          </w:p>
        </w:tc>
        <w:tc>
          <w:tcPr>
            <w:tcW w:w="12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29" w:type="dxa"/>
            <w:tcBorders/>
            <w:vAlign w:val="center"/>
          </w:tcPr>
          <w:p>
            <w:pPr>
              <w:pStyle w:val="TableContents"/>
              <w:bidi w:val="0"/>
              <w:spacing w:before="0" w:after="1"/>
              <w:ind w:left="0" w:right="0" w:hanging="0"/>
              <w:jc w:val="center"/>
              <w:rPr/>
            </w:pPr>
            <w:r>
              <w:rPr/>
              <w:t>    </w:t>
            </w:r>
          </w:p>
        </w:tc>
        <w:tc>
          <w:tcPr>
            <w:tcW w:w="16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Sales-based</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16,346</w:t>
            </w:r>
          </w:p>
        </w:tc>
        <w:tc>
          <w:tcPr>
            <w:tcW w:w="529"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16,441</w:t>
            </w:r>
          </w:p>
        </w:tc>
        <w:tc>
          <w:tcPr>
            <w:tcW w:w="326" w:type="dxa"/>
            <w:tcBorders/>
            <w:shd w:fill="CCEEFF" w:val="clear"/>
            <w:vAlign w:val="center"/>
          </w:tcPr>
          <w:p>
            <w:pPr>
              <w:pStyle w:val="TableContents"/>
              <w:bidi w:val="0"/>
              <w:spacing w:before="0" w:after="1"/>
              <w:ind w:left="0" w:right="0" w:hanging="0"/>
              <w:jc w:val="left"/>
              <w:rPr/>
            </w:pPr>
            <w:r>
              <w:rPr/>
              <w:t> </w:t>
            </w:r>
          </w:p>
        </w:tc>
        <w:tc>
          <w:tcPr>
            <w:tcW w:w="127"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Trailing</w:t>
            </w:r>
          </w:p>
        </w:tc>
        <w:tc>
          <w:tcPr>
            <w:tcW w:w="326" w:type="dxa"/>
            <w:tcBorders/>
            <w:vAlign w:val="center"/>
          </w:tcPr>
          <w:p>
            <w:pPr>
              <w:pStyle w:val="TableContents"/>
              <w:bidi w:val="0"/>
              <w:spacing w:before="0" w:after="1"/>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21,024</w:t>
            </w:r>
          </w:p>
        </w:tc>
        <w:tc>
          <w:tcPr>
            <w:tcW w:w="529" w:type="dxa"/>
            <w:tcBorders/>
            <w:vAlign w:val="center"/>
          </w:tcPr>
          <w:p>
            <w:pPr>
              <w:pStyle w:val="TableContents"/>
              <w:bidi w:val="0"/>
              <w:spacing w:before="0" w:after="1"/>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18,339</w:t>
            </w:r>
          </w:p>
        </w:tc>
        <w:tc>
          <w:tcPr>
            <w:tcW w:w="326" w:type="dxa"/>
            <w:tcBorders/>
            <w:vAlign w:val="center"/>
          </w:tcPr>
          <w:p>
            <w:pPr>
              <w:pStyle w:val="TableContents"/>
              <w:bidi w:val="0"/>
              <w:spacing w:before="0" w:after="1"/>
              <w:ind w:left="0" w:right="0" w:hanging="0"/>
              <w:jc w:val="left"/>
              <w:rPr/>
            </w:pPr>
            <w:r>
              <w:rPr/>
              <w:t> </w:t>
            </w:r>
          </w:p>
        </w:tc>
        <w:tc>
          <w:tcPr>
            <w:tcW w:w="1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commission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37,370</w:t>
            </w:r>
          </w:p>
        </w:tc>
        <w:tc>
          <w:tcPr>
            <w:tcW w:w="529" w:type="dxa"/>
            <w:tcBorders/>
            <w:shd w:fill="CCEEFF" w:val="clear"/>
            <w:vAlign w:val="center"/>
          </w:tcPr>
          <w:p>
            <w:pPr>
              <w:pStyle w:val="TableContents"/>
              <w:bidi w:val="0"/>
              <w:spacing w:before="0" w:after="1"/>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34,780</w:t>
            </w:r>
          </w:p>
        </w:tc>
        <w:tc>
          <w:tcPr>
            <w:tcW w:w="326" w:type="dxa"/>
            <w:tcBorders/>
            <w:shd w:fill="CCEEFF" w:val="clear"/>
            <w:vAlign w:val="center"/>
          </w:tcPr>
          <w:p>
            <w:pPr>
              <w:pStyle w:val="TableContents"/>
              <w:bidi w:val="0"/>
              <w:spacing w:before="0" w:after="1"/>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w:t>
            </w:r>
          </w:p>
        </w:tc>
        <w:tc>
          <w:tcPr>
            <w:tcW w:w="1268" w:type="dxa"/>
            <w:tcBorders/>
            <w:vAlign w:val="center"/>
          </w:tcPr>
          <w:p>
            <w:pPr>
              <w:pStyle w:val="TableContents"/>
              <w:bidi w:val="0"/>
              <w:spacing w:before="0" w:after="1"/>
              <w:ind w:left="0" w:right="0" w:hanging="0"/>
              <w:jc w:val="right"/>
              <w:rPr/>
            </w:pPr>
            <w:r>
              <w:rPr/>
              <w:t>​</w:t>
            </w:r>
          </w:p>
        </w:tc>
        <w:tc>
          <w:tcPr>
            <w:tcW w:w="529"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w:t>
            </w:r>
          </w:p>
        </w:tc>
        <w:tc>
          <w:tcPr>
            <w:tcW w:w="12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7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nine-month periods ended September 30, </w:t>
            </w:r>
          </w:p>
        </w:tc>
        <w:tc>
          <w:tcPr>
            <w:tcW w:w="326" w:type="dxa"/>
            <w:tcBorders/>
            <w:vAlign w:val="center"/>
          </w:tcPr>
          <w:p>
            <w:pPr>
              <w:pStyle w:val="TableContents"/>
              <w:bidi w:val="0"/>
              <w:spacing w:before="0" w:after="1"/>
              <w:ind w:left="0" w:right="0" w:hanging="0"/>
              <w:jc w:val="left"/>
              <w:rPr/>
            </w:pPr>
            <w:r>
              <w:rPr/>
              <w:t>​</w:t>
            </w:r>
          </w:p>
        </w:tc>
        <w:tc>
          <w:tcPr>
            <w:tcW w:w="12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29" w:type="dxa"/>
            <w:tcBorders/>
            <w:vAlign w:val="center"/>
          </w:tcPr>
          <w:p>
            <w:pPr>
              <w:pStyle w:val="TableContents"/>
              <w:bidi w:val="0"/>
              <w:spacing w:before="0" w:after="1"/>
              <w:ind w:left="0" w:right="0" w:hanging="0"/>
              <w:jc w:val="center"/>
              <w:rPr/>
            </w:pPr>
            <w:r>
              <w:rPr/>
              <w:t>    </w:t>
            </w:r>
          </w:p>
        </w:tc>
        <w:tc>
          <w:tcPr>
            <w:tcW w:w="16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Sales-based</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51,624</w:t>
            </w:r>
          </w:p>
        </w:tc>
        <w:tc>
          <w:tcPr>
            <w:tcW w:w="529"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48,058</w:t>
            </w:r>
          </w:p>
        </w:tc>
        <w:tc>
          <w:tcPr>
            <w:tcW w:w="326" w:type="dxa"/>
            <w:tcBorders/>
            <w:shd w:fill="CCEEFF" w:val="clear"/>
            <w:vAlign w:val="center"/>
          </w:tcPr>
          <w:p>
            <w:pPr>
              <w:pStyle w:val="TableContents"/>
              <w:bidi w:val="0"/>
              <w:spacing w:before="0" w:after="1"/>
              <w:ind w:left="0" w:right="0" w:hanging="0"/>
              <w:jc w:val="left"/>
              <w:rPr/>
            </w:pPr>
            <w:r>
              <w:rPr/>
              <w:t> </w:t>
            </w:r>
          </w:p>
        </w:tc>
        <w:tc>
          <w:tcPr>
            <w:tcW w:w="127"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3,566</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Trailing</w:t>
            </w:r>
          </w:p>
        </w:tc>
        <w:tc>
          <w:tcPr>
            <w:tcW w:w="326" w:type="dxa"/>
            <w:tcBorders/>
            <w:vAlign w:val="center"/>
          </w:tcPr>
          <w:p>
            <w:pPr>
              <w:pStyle w:val="TableContents"/>
              <w:bidi w:val="0"/>
              <w:spacing w:before="0" w:after="1"/>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60,882</w:t>
            </w:r>
          </w:p>
        </w:tc>
        <w:tc>
          <w:tcPr>
            <w:tcW w:w="529" w:type="dxa"/>
            <w:tcBorders/>
            <w:vAlign w:val="center"/>
          </w:tcPr>
          <w:p>
            <w:pPr>
              <w:pStyle w:val="TableContents"/>
              <w:bidi w:val="0"/>
              <w:spacing w:before="0" w:after="1"/>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54,778</w:t>
            </w:r>
          </w:p>
        </w:tc>
        <w:tc>
          <w:tcPr>
            <w:tcW w:w="326" w:type="dxa"/>
            <w:tcBorders/>
            <w:vAlign w:val="center"/>
          </w:tcPr>
          <w:p>
            <w:pPr>
              <w:pStyle w:val="TableContents"/>
              <w:bidi w:val="0"/>
              <w:spacing w:before="0" w:after="1"/>
              <w:ind w:left="0" w:right="0" w:hanging="0"/>
              <w:jc w:val="left"/>
              <w:rPr/>
            </w:pPr>
            <w:r>
              <w:rPr/>
              <w:t> </w:t>
            </w:r>
          </w:p>
        </w:tc>
        <w:tc>
          <w:tcPr>
            <w:tcW w:w="1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6,104</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commission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112,506</w:t>
            </w:r>
          </w:p>
        </w:tc>
        <w:tc>
          <w:tcPr>
            <w:tcW w:w="529" w:type="dxa"/>
            <w:tcBorders/>
            <w:shd w:fill="CCEEFF" w:val="clear"/>
            <w:vAlign w:val="center"/>
          </w:tcPr>
          <w:p>
            <w:pPr>
              <w:pStyle w:val="TableContents"/>
              <w:bidi w:val="0"/>
              <w:spacing w:before="0" w:after="1"/>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102,836</w:t>
            </w:r>
          </w:p>
        </w:tc>
        <w:tc>
          <w:tcPr>
            <w:tcW w:w="326" w:type="dxa"/>
            <w:tcBorders/>
            <w:shd w:fill="CCEEFF" w:val="clear"/>
            <w:vAlign w:val="center"/>
          </w:tcPr>
          <w:p>
            <w:pPr>
              <w:pStyle w:val="TableContents"/>
              <w:bidi w:val="0"/>
              <w:spacing w:before="0" w:after="1"/>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Sales-based revenue decreased by approximately $0.1 million and increased approximately $3.5 million or (0.6)% and 7.4% for the three and nine-month period ended September 30, 2025, respectively, as compared to 2024. Trailing based revenue increased by approximately $2.7 million and $6.1 million or 14.6% and 11.1% for the three and nine-month periods ended September 30, 2025, respectively, as compared to 2024. The decrease in sales-based revenue for the three-month period ended September 30, 2025 as compared to 2024 is attributable to a decrease in the sales of insurance related products. The increase in sales-based revenue for the nine-month period ended September 30, 2025, as compared to 2024 is attributable to an increase in the generation of transactional based products, specifically alternative investment products. The increase in the trailing based revenues is due to the increase in trail-based assets resulting from positive market volatility. Commission revenue is generated from brokerage assets. The following tables summarize the brokerage assets for the three and nine-month periods ended September 30, 2025 and 2024 (in billions):</w:t>
      </w:r>
    </w:p>
    <w:tbl>
      <w:tblPr>
        <w:tblW w:w="3627" w:type="dxa"/>
        <w:jc w:val="left"/>
        <w:tblInd w:w="0" w:type="dxa"/>
        <w:tblLayout w:type="fixed"/>
        <w:tblCellMar>
          <w:top w:w="0" w:type="dxa"/>
          <w:left w:w="0" w:type="dxa"/>
          <w:bottom w:w="0" w:type="dxa"/>
          <w:right w:w="0" w:type="dxa"/>
        </w:tblCellMar>
      </w:tblPr>
      <w:tblGrid>
        <w:gridCol w:w="1516"/>
        <w:gridCol w:w="326"/>
        <w:gridCol w:w="211"/>
        <w:gridCol w:w="466"/>
        <w:gridCol w:w="326"/>
        <w:gridCol w:w="211"/>
        <w:gridCol w:w="57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962660" cy="175260"/>
                      <wp:effectExtent l="0" t="0" r="0" b="0"/>
                      <wp:wrapNone/>
                      <wp:docPr id="269" name="Frame269"/>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95910" cy="175260"/>
                      <wp:effectExtent l="0" t="0" r="0" b="0"/>
                      <wp:wrapNone/>
                      <wp:docPr id="272" name="Frame27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62585" cy="175260"/>
                      <wp:effectExtent l="0" t="0" r="0" b="0"/>
                      <wp:wrapNone/>
                      <wp:docPr id="275" name="Frame2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7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Brokerage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the brokerage assets above are trail-eligible assets as follows (in billions):</w:t>
      </w:r>
    </w:p>
    <w:tbl>
      <w:tblPr>
        <w:tblW w:w="3897" w:type="dxa"/>
        <w:jc w:val="left"/>
        <w:tblInd w:w="0" w:type="dxa"/>
        <w:tblLayout w:type="fixed"/>
        <w:tblCellMar>
          <w:top w:w="0" w:type="dxa"/>
          <w:left w:w="0" w:type="dxa"/>
          <w:bottom w:w="0" w:type="dxa"/>
          <w:right w:w="0" w:type="dxa"/>
        </w:tblCellMar>
      </w:tblPr>
      <w:tblGrid>
        <w:gridCol w:w="1786"/>
        <w:gridCol w:w="326"/>
        <w:gridCol w:w="211"/>
        <w:gridCol w:w="466"/>
        <w:gridCol w:w="326"/>
        <w:gridCol w:w="211"/>
        <w:gridCol w:w="57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134110" cy="175260"/>
                      <wp:effectExtent l="0" t="0" r="0" b="0"/>
                      <wp:wrapNone/>
                      <wp:docPr id="276" name="Frame276"/>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95910" cy="175260"/>
                      <wp:effectExtent l="0" t="0" r="0" b="0"/>
                      <wp:wrapNone/>
                      <wp:docPr id="279" name="Frame27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62585" cy="175260"/>
                      <wp:effectExtent l="0" t="0" r="0" b="0"/>
                      <wp:wrapNone/>
                      <wp:docPr id="282" name="Frame2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7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r>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Trail-Eligible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17.0</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activity impacting brokerage assets for the periods ended (in billions):</w:t>
      </w:r>
    </w:p>
    <w:tbl>
      <w:tblPr>
        <w:tblW w:w="9665" w:type="dxa"/>
        <w:jc w:val="left"/>
        <w:tblInd w:w="0" w:type="dxa"/>
        <w:tblLayout w:type="fixed"/>
        <w:tblCellMar>
          <w:top w:w="0" w:type="dxa"/>
          <w:left w:w="0" w:type="dxa"/>
          <w:bottom w:w="0" w:type="dxa"/>
          <w:right w:w="0" w:type="dxa"/>
        </w:tblCellMar>
      </w:tblPr>
      <w:tblGrid>
        <w:gridCol w:w="2596"/>
        <w:gridCol w:w="326"/>
        <w:gridCol w:w="401"/>
        <w:gridCol w:w="915"/>
        <w:gridCol w:w="620"/>
        <w:gridCol w:w="401"/>
        <w:gridCol w:w="886"/>
        <w:gridCol w:w="326"/>
        <w:gridCol w:w="285"/>
        <w:gridCol w:w="941"/>
        <w:gridCol w:w="638"/>
        <w:gridCol w:w="213"/>
        <w:gridCol w:w="111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648460" cy="175260"/>
                      <wp:effectExtent l="0" t="0" r="0" b="0"/>
                      <wp:wrapNone/>
                      <wp:docPr id="283" name="Frame283"/>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54635" cy="175260"/>
                      <wp:effectExtent l="0" t="0" r="0" b="0"/>
                      <wp:wrapNone/>
                      <wp:docPr id="285" name="Frame285"/>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81025" cy="175260"/>
                      <wp:effectExtent l="0" t="0" r="0" b="0"/>
                      <wp:wrapNone/>
                      <wp:docPr id="286" name="Frame286"/>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93700" cy="175260"/>
                      <wp:effectExtent l="0" t="0" r="0" b="0"/>
                      <wp:wrapNone/>
                      <wp:docPr id="287" name="Frame287"/>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54635" cy="175260"/>
                      <wp:effectExtent l="0" t="0" r="0" b="0"/>
                      <wp:wrapNone/>
                      <wp:docPr id="288" name="Frame288"/>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62610" cy="175260"/>
                      <wp:effectExtent l="0" t="0" r="0" b="0"/>
                      <wp:wrapNone/>
                      <wp:docPr id="289" name="Frame28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80975" cy="175260"/>
                      <wp:effectExtent l="0" t="0" r="0" b="0"/>
                      <wp:wrapNone/>
                      <wp:docPr id="291" name="Frame291"/>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97535" cy="175260"/>
                      <wp:effectExtent l="0" t="0" r="0" b="0"/>
                      <wp:wrapNone/>
                      <wp:docPr id="292" name="Frame292"/>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05130" cy="175260"/>
                      <wp:effectExtent l="0" t="0" r="0" b="0"/>
                      <wp:wrapNone/>
                      <wp:docPr id="293" name="Frame293"/>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5255" cy="175260"/>
                      <wp:effectExtent l="0" t="0" r="0" b="0"/>
                      <wp:wrapNone/>
                      <wp:docPr id="294" name="Frame29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709295" cy="175260"/>
                      <wp:effectExtent l="0" t="0" r="0" b="0"/>
                      <wp:wrapNone/>
                      <wp:docPr id="295" name="Frame295"/>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19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Flows-Brokerage Assets</w:t>
            </w:r>
          </w:p>
        </w:tc>
        <w:tc>
          <w:tcPr>
            <w:tcW w:w="326" w:type="dxa"/>
            <w:tcBorders/>
            <w:vAlign w:val="center"/>
          </w:tcPr>
          <w:p>
            <w:pPr>
              <w:pStyle w:val="TableContents"/>
              <w:bidi w:val="0"/>
              <w:spacing w:before="0" w:after="1"/>
              <w:ind w:left="0" w:right="0" w:hanging="0"/>
              <w:jc w:val="left"/>
              <w:rPr/>
            </w:pPr>
            <w:r>
              <w:rPr/>
              <w:t>    </w:t>
            </w:r>
          </w:p>
        </w:tc>
        <w:tc>
          <w:tcPr>
            <w:tcW w:w="13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20" w:type="dxa"/>
            <w:tcBorders/>
            <w:vAlign w:val="center"/>
          </w:tcPr>
          <w:p>
            <w:pPr>
              <w:pStyle w:val="TableContents"/>
              <w:bidi w:val="0"/>
              <w:spacing w:before="0" w:after="1"/>
              <w:ind w:left="0" w:right="0" w:hanging="0"/>
              <w:jc w:val="left"/>
              <w:rPr/>
            </w:pPr>
            <w:r>
              <w:rPr/>
              <w:t>    </w:t>
            </w:r>
          </w:p>
        </w:tc>
        <w:tc>
          <w:tcPr>
            <w:tcW w:w="12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2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38" w:type="dxa"/>
            <w:tcBorders/>
            <w:vAlign w:val="center"/>
          </w:tcPr>
          <w:p>
            <w:pPr>
              <w:pStyle w:val="TableContents"/>
              <w:bidi w:val="0"/>
              <w:spacing w:before="0" w:after="1"/>
              <w:ind w:left="0" w:right="0" w:hanging="0"/>
              <w:jc w:val="left"/>
              <w:rPr/>
            </w:pPr>
            <w:r>
              <w:rPr/>
              <w:t>    </w:t>
            </w:r>
          </w:p>
        </w:tc>
        <w:tc>
          <w:tcPr>
            <w:tcW w:w="13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620"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638"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1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new brokerage assets(1)</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620"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638"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1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 impact(2)</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620" w:type="dxa"/>
            <w:tcBorders/>
            <w:shd w:fill="CCEEFF" w:val="clear"/>
            <w:vAlign w:val="center"/>
          </w:tcPr>
          <w:p>
            <w:pPr>
              <w:pStyle w:val="TableContents"/>
              <w:bidi w:val="0"/>
              <w:spacing w:before="0" w:after="1"/>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638"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End of period</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620"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638"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117"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24.5</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new brokerage assets consist of total client deposits less client withdrawals from brokerage accounts, plus dividends, plus interest.</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impact is the difference between the beginning and ending asset balances less the net new asset amounts, representing the implied growth or decline in asset balances due to market change over the same period of time.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Advisory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represent fees charged to advisors’ clients’ accounts on the Company’s corporate advisory platform. The Company provides ongoing investment advice, brokerage and execution services on transactions, and performs administrative services for these accounts. These fees are recognized ratably over time to match the continued delivery of the performance obligations to the client over the life of the contract. The advisory fees generated from the Company’s corporate advisory platform are based on a percentage of the market value of the eligible assets in the clients’ advisory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increased by approximately 18.6% and 14.8% for the three and nine month periods ended September 30, 2025, respectively, as compared to the same period in September 30, 2024, due to positive returns in the market from the period of September 30, 2024 to the period ending September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summarizes the advisory assets as of September 30, 2025 and 2024 (in billions):</w:t>
      </w:r>
    </w:p>
    <w:tbl>
      <w:tblPr>
        <w:tblW w:w="3401" w:type="dxa"/>
        <w:jc w:val="left"/>
        <w:tblInd w:w="0" w:type="dxa"/>
        <w:tblLayout w:type="fixed"/>
        <w:tblCellMar>
          <w:top w:w="0" w:type="dxa"/>
          <w:left w:w="0" w:type="dxa"/>
          <w:bottom w:w="0" w:type="dxa"/>
          <w:right w:w="0" w:type="dxa"/>
        </w:tblCellMar>
      </w:tblPr>
      <w:tblGrid>
        <w:gridCol w:w="1426"/>
        <w:gridCol w:w="326"/>
        <w:gridCol w:w="221"/>
        <w:gridCol w:w="378"/>
        <w:gridCol w:w="341"/>
        <w:gridCol w:w="221"/>
        <w:gridCol w:w="488"/>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905510" cy="175260"/>
                      <wp:effectExtent l="0" t="0" r="0" b="0"/>
                      <wp:wrapNone/>
                      <wp:docPr id="296" name="Frame296"/>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40335" cy="175260"/>
                      <wp:effectExtent l="0" t="0" r="0" b="0"/>
                      <wp:wrapNone/>
                      <wp:docPr id="298" name="Frame29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40030" cy="175260"/>
                      <wp:effectExtent l="0" t="0" r="0" b="0"/>
                      <wp:wrapNone/>
                      <wp:docPr id="299" name="Frame299"/>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6535" cy="175260"/>
                      <wp:effectExtent l="0" t="0" r="0" b="0"/>
                      <wp:wrapNone/>
                      <wp:docPr id="300" name="Frame300"/>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40335" cy="175260"/>
                      <wp:effectExtent l="0" t="0" r="0" b="0"/>
                      <wp:wrapNone/>
                      <wp:docPr id="301" name="Frame30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09880" cy="175260"/>
                      <wp:effectExtent l="0" t="0" r="0" b="0"/>
                      <wp:wrapNone/>
                      <wp:docPr id="302" name="Frame302"/>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1" w:type="dxa"/>
            <w:tcBorders/>
            <w:vAlign w:val="center"/>
          </w:tcPr>
          <w:p>
            <w:pPr>
              <w:pStyle w:val="TableContents"/>
              <w:bidi w:val="0"/>
              <w:spacing w:before="0" w:after="1"/>
              <w:ind w:left="0" w:right="0" w:hanging="0"/>
              <w:jc w:val="center"/>
              <w:rPr/>
            </w:pPr>
            <w:r>
              <w:rPr/>
              <w:t>    </w:t>
            </w:r>
          </w:p>
        </w:tc>
        <w:tc>
          <w:tcPr>
            <w:tcW w:w="7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1"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8"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activity impacting advisory assets for the periods ended (in billions):</w:t>
      </w:r>
    </w:p>
    <w:tbl>
      <w:tblPr>
        <w:tblW w:w="9667" w:type="dxa"/>
        <w:jc w:val="left"/>
        <w:tblInd w:w="0" w:type="dxa"/>
        <w:tblLayout w:type="fixed"/>
        <w:tblCellMar>
          <w:top w:w="0" w:type="dxa"/>
          <w:left w:w="0" w:type="dxa"/>
          <w:bottom w:w="0" w:type="dxa"/>
          <w:right w:w="0" w:type="dxa"/>
        </w:tblCellMar>
      </w:tblPr>
      <w:tblGrid>
        <w:gridCol w:w="2596"/>
        <w:gridCol w:w="326"/>
        <w:gridCol w:w="463"/>
        <w:gridCol w:w="792"/>
        <w:gridCol w:w="715"/>
        <w:gridCol w:w="463"/>
        <w:gridCol w:w="792"/>
        <w:gridCol w:w="326"/>
        <w:gridCol w:w="412"/>
        <w:gridCol w:w="705"/>
        <w:gridCol w:w="637"/>
        <w:gridCol w:w="412"/>
        <w:gridCol w:w="1028"/>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648460" cy="175260"/>
                      <wp:effectExtent l="0" t="0" r="0" b="0"/>
                      <wp:wrapNone/>
                      <wp:docPr id="303" name="Frame303"/>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94005" cy="175260"/>
                      <wp:effectExtent l="0" t="0" r="0" b="0"/>
                      <wp:wrapNone/>
                      <wp:docPr id="305" name="Frame305"/>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02920" cy="175260"/>
                      <wp:effectExtent l="0" t="0" r="0" b="0"/>
                      <wp:wrapNone/>
                      <wp:docPr id="306" name="Frame306"/>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54025" cy="175260"/>
                      <wp:effectExtent l="0" t="0" r="0" b="0"/>
                      <wp:wrapNone/>
                      <wp:docPr id="307" name="Frame307"/>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94005" cy="175260"/>
                      <wp:effectExtent l="0" t="0" r="0" b="0"/>
                      <wp:wrapNone/>
                      <wp:docPr id="308" name="Frame308"/>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02920" cy="175260"/>
                      <wp:effectExtent l="0" t="0" r="0" b="0"/>
                      <wp:wrapNone/>
                      <wp:docPr id="309" name="Frame309"/>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61620" cy="175260"/>
                      <wp:effectExtent l="0" t="0" r="0" b="0"/>
                      <wp:wrapNone/>
                      <wp:docPr id="311" name="Frame311"/>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47675" cy="175260"/>
                      <wp:effectExtent l="0" t="0" r="0" b="0"/>
                      <wp:wrapNone/>
                      <wp:docPr id="312" name="Frame312"/>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04495" cy="175260"/>
                      <wp:effectExtent l="0" t="0" r="0" b="0"/>
                      <wp:wrapNone/>
                      <wp:docPr id="313" name="Frame313"/>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61620" cy="175260"/>
                      <wp:effectExtent l="0" t="0" r="0" b="0"/>
                      <wp:wrapNone/>
                      <wp:docPr id="314" name="Frame314"/>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52780" cy="175260"/>
                      <wp:effectExtent l="0" t="0" r="0" b="0"/>
                      <wp:wrapNone/>
                      <wp:docPr id="315" name="Frame315"/>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vAlign w:val="center"/>
          </w:tcPr>
          <w:p>
            <w:pPr>
              <w:pStyle w:val="TableContents"/>
              <w:bidi w:val="0"/>
              <w:spacing w:before="0" w:after="1"/>
              <w:ind w:left="0" w:right="0" w:hanging="0"/>
              <w:jc w:val="center"/>
              <w:rPr/>
            </w:pPr>
            <w:r>
              <w:rPr/>
              <w:t>​</w:t>
            </w:r>
          </w:p>
        </w:tc>
        <w:tc>
          <w:tcPr>
            <w:tcW w:w="319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Flows-Advisory Assets</w:t>
            </w:r>
          </w:p>
        </w:tc>
        <w:tc>
          <w:tcPr>
            <w:tcW w:w="326" w:type="dxa"/>
            <w:tcBorders/>
            <w:vAlign w:val="center"/>
          </w:tcPr>
          <w:p>
            <w:pPr>
              <w:pStyle w:val="TableContents"/>
              <w:bidi w:val="0"/>
              <w:spacing w:before="0" w:after="1"/>
              <w:ind w:left="0" w:right="0" w:hanging="0"/>
              <w:jc w:val="center"/>
              <w:rPr/>
            </w:pPr>
            <w:r>
              <w:rPr/>
              <w:t>    </w:t>
            </w:r>
          </w:p>
        </w:tc>
        <w:tc>
          <w:tcPr>
            <w:tcW w:w="12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715" w:type="dxa"/>
            <w:tcBorders/>
            <w:vAlign w:val="center"/>
          </w:tcPr>
          <w:p>
            <w:pPr>
              <w:pStyle w:val="TableContents"/>
              <w:bidi w:val="0"/>
              <w:spacing w:before="0" w:after="1"/>
              <w:ind w:left="0" w:right="0" w:hanging="0"/>
              <w:jc w:val="center"/>
              <w:rPr/>
            </w:pPr>
            <w:r>
              <w:rPr/>
              <w:t>    </w:t>
            </w:r>
          </w:p>
        </w:tc>
        <w:tc>
          <w:tcPr>
            <w:tcW w:w="12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1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37" w:type="dxa"/>
            <w:tcBorders/>
            <w:vAlign w:val="center"/>
          </w:tcPr>
          <w:p>
            <w:pPr>
              <w:pStyle w:val="TableContents"/>
              <w:bidi w:val="0"/>
              <w:spacing w:before="0" w:after="1"/>
              <w:ind w:left="0" w:right="0" w:hanging="0"/>
              <w:jc w:val="center"/>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beginning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715"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637" w:type="dxa"/>
            <w:tcBorders/>
            <w:shd w:fill="CCEEFF" w:val="clear"/>
            <w:vAlign w:val="center"/>
          </w:tcPr>
          <w:p>
            <w:pPr>
              <w:pStyle w:val="TableContents"/>
              <w:bidi w:val="0"/>
              <w:spacing w:before="0" w:after="1"/>
              <w:ind w:left="0" w:right="0" w:hanging="0"/>
              <w:jc w:val="righ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new brokerage assets(1)</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715"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637" w:type="dxa"/>
            <w:tcBorders/>
            <w:vAlign w:val="center"/>
          </w:tcPr>
          <w:p>
            <w:pPr>
              <w:pStyle w:val="TableContents"/>
              <w:bidi w:val="0"/>
              <w:spacing w:before="0" w:after="1"/>
              <w:ind w:left="0" w:right="0" w:hanging="0"/>
              <w:jc w:val="right"/>
              <w:rPr/>
            </w:pPr>
            <w:r>
              <w:rPr/>
              <w:t>​</w:t>
            </w:r>
          </w:p>
        </w:tc>
        <w:tc>
          <w:tcPr>
            <w:tcW w:w="412"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 impact(2)</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715" w:type="dxa"/>
            <w:tcBorders/>
            <w:shd w:fill="CCEEFF" w:val="clear"/>
            <w:vAlign w:val="center"/>
          </w:tcPr>
          <w:p>
            <w:pPr>
              <w:pStyle w:val="TableContents"/>
              <w:bidi w:val="0"/>
              <w:spacing w:before="0" w:after="1"/>
              <w:ind w:left="0" w:right="0" w:hanging="0"/>
              <w:jc w:val="left"/>
              <w:rPr/>
            </w:pPr>
            <w:r>
              <w:rPr/>
              <w:t>​</w:t>
            </w:r>
          </w:p>
        </w:tc>
        <w:tc>
          <w:tcPr>
            <w:tcW w:w="4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1"/>
              <w:ind w:left="0" w:right="0" w:hanging="0"/>
              <w:jc w:val="left"/>
              <w:rPr/>
            </w:pPr>
            <w:r>
              <w:rPr/>
              <w:t>​</w:t>
            </w:r>
          </w:p>
        </w:tc>
        <w:tc>
          <w:tcPr>
            <w:tcW w:w="4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637" w:type="dxa"/>
            <w:tcBorders/>
            <w:shd w:fill="CCEEFF" w:val="clear"/>
            <w:vAlign w:val="center"/>
          </w:tcPr>
          <w:p>
            <w:pPr>
              <w:pStyle w:val="TableContents"/>
              <w:bidi w:val="0"/>
              <w:spacing w:before="0" w:after="1"/>
              <w:ind w:left="0" w:right="0" w:hanging="0"/>
              <w:jc w:val="right"/>
              <w:rPr/>
            </w:pPr>
            <w:r>
              <w:rPr/>
              <w:t>​</w:t>
            </w:r>
          </w:p>
        </w:tc>
        <w:tc>
          <w:tcPr>
            <w:tcW w:w="4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End of period</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715"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637" w:type="dxa"/>
            <w:tcBorders/>
            <w:vAlign w:val="center"/>
          </w:tcPr>
          <w:p>
            <w:pPr>
              <w:pStyle w:val="TableContents"/>
              <w:bidi w:val="0"/>
              <w:spacing w:before="0" w:after="1"/>
              <w:ind w:left="0" w:right="0" w:hanging="0"/>
              <w:jc w:val="right"/>
              <w:rPr/>
            </w:pPr>
            <w:r>
              <w:rPr/>
              <w:t>​</w:t>
            </w:r>
          </w:p>
        </w:tc>
        <w:tc>
          <w:tcPr>
            <w:tcW w:w="4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new advisory assets consist of total client deposits less client withdrawals from custodial accounts, plus dividends, plus interest, minus advisory fees.</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impact is the difference between the beginning and ending asset balances less the net new asset amounts, representing the implied growth or decline in asset balances due to market change over the same period of time.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and 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includes amounts earned on balances held at the Company’s clearing brokers related to cash balances and margin balances. The Company’s clearing agreements include provisions that provide for a sharing of the interest income earned on such balances with the clearing brokers. The rate varies based on the clearing broker.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primarily includes amounts earned by the Company related to marketing and incentives earned from the sales of certain investment products by the financial advisors to its clients, primarily alternative investments, as well as sponsorship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in interest and other income for the three month period ended September 30, 2025, compared to 2024 is primarily related to the increase in the interest income shared with the Company’s clearing brokers. The decrease in interest and other income for the nine-month period ended September 30, 2025 is primarily related to a non-recurring income item that was earned during the same period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Commissions and Fees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Commissions and fees primarily consist of commissions paid to the financial advisors, technology costs associated with the platform for which the financial advisors operate their business, insurance costs and regulatory costs. Certain of the technology, insurance and regulatory costs are passed through to the financial advisors and any excess costs are included as fees within commissions and fees. The commissions and fees paid to the financial advisors are based on the advisory and commission revenue earned on each client’s account. The payout amount is production based, which is the gross revenue produced by the financial advisor, and varies based on the level of such production ranging from 50% to 95% of the revenue generated. The production levels begin at gross revenue of $15,000 up to $4,000,000 and up, and the payout rate starts at 50% and increases to a top payout rate of 94% for annual production of $4,000,000 and up.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payout rate, which is a statistical or operating measure and monitored to review that such costs of revenue remain consistent on a period over period basis:</w:t>
      </w:r>
    </w:p>
    <w:tbl>
      <w:tblPr>
        <w:tblW w:w="6074" w:type="dxa"/>
        <w:jc w:val="left"/>
        <w:tblInd w:w="0" w:type="dxa"/>
        <w:tblLayout w:type="fixed"/>
        <w:tblCellMar>
          <w:top w:w="0" w:type="dxa"/>
          <w:left w:w="0" w:type="dxa"/>
          <w:bottom w:w="0" w:type="dxa"/>
          <w:right w:w="0" w:type="dxa"/>
        </w:tblCellMar>
      </w:tblPr>
      <w:tblGrid>
        <w:gridCol w:w="1186"/>
        <w:gridCol w:w="326"/>
        <w:gridCol w:w="1225"/>
        <w:gridCol w:w="774"/>
        <w:gridCol w:w="1225"/>
        <w:gridCol w:w="361"/>
        <w:gridCol w:w="661"/>
        <w:gridCol w:w="316"/>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753110" cy="175260"/>
                      <wp:effectExtent l="0" t="0" r="0" b="0"/>
                      <wp:wrapNone/>
                      <wp:docPr id="316" name="Frame31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777875" cy="175260"/>
                      <wp:effectExtent l="0" t="0" r="0" b="0"/>
                      <wp:wrapNone/>
                      <wp:docPr id="318" name="Frame318"/>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91490" cy="175260"/>
                      <wp:effectExtent l="0" t="0" r="0" b="0"/>
                      <wp:wrapNone/>
                      <wp:docPr id="319" name="Frame319"/>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777875" cy="175260"/>
                      <wp:effectExtent l="0" t="0" r="0" b="0"/>
                      <wp:wrapNone/>
                      <wp:docPr id="320" name="Frame320"/>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29235" cy="175260"/>
                      <wp:effectExtent l="0" t="0" r="0" b="0"/>
                      <wp:wrapNone/>
                      <wp:docPr id="321" name="Frame3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19735" cy="175260"/>
                      <wp:effectExtent l="0" t="0" r="0" b="0"/>
                      <wp:wrapNone/>
                      <wp:docPr id="322" name="Frame32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0660" cy="175260"/>
                      <wp:effectExtent l="0" t="0" r="0" b="0"/>
                      <wp:wrapNone/>
                      <wp:docPr id="323" name="Frame32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22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61" w:type="dxa"/>
            <w:tcBorders/>
            <w:vAlign w:val="center"/>
          </w:tcPr>
          <w:p>
            <w:pPr>
              <w:pStyle w:val="TableContents"/>
              <w:bidi w:val="0"/>
              <w:spacing w:before="0" w:after="1"/>
              <w:ind w:left="0" w:right="0" w:hanging="0"/>
              <w:jc w:val="center"/>
              <w:rPr/>
            </w:pPr>
            <w:r>
              <w:rPr/>
              <w:t>    </w:t>
            </w:r>
          </w:p>
        </w:tc>
        <w:tc>
          <w:tcPr>
            <w:tcW w:w="6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1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2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774" w:type="dxa"/>
            <w:tcBorders/>
            <w:vAlign w:val="center"/>
          </w:tcPr>
          <w:p>
            <w:pPr>
              <w:pStyle w:val="TableContents"/>
              <w:bidi w:val="0"/>
              <w:spacing w:before="0" w:after="1"/>
              <w:ind w:left="0" w:right="0" w:hanging="0"/>
              <w:jc w:val="center"/>
              <w:rPr/>
            </w:pPr>
            <w:r>
              <w:rPr/>
              <w:t>    </w:t>
            </w:r>
          </w:p>
        </w:tc>
        <w:tc>
          <w:tcPr>
            <w:tcW w:w="122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center"/>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Payout range</w:t>
            </w:r>
          </w:p>
        </w:tc>
        <w:tc>
          <w:tcPr>
            <w:tcW w:w="32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83.08</w:t>
            </w:r>
          </w:p>
        </w:tc>
        <w:tc>
          <w:tcPr>
            <w:tcW w:w="7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25" w:type="dxa"/>
            <w:tcBorders/>
            <w:vAlign w:val="center"/>
          </w:tcPr>
          <w:p>
            <w:pPr>
              <w:pStyle w:val="TableContents"/>
              <w:bidi w:val="0"/>
              <w:spacing w:before="0" w:after="1"/>
              <w:ind w:left="0" w:right="0" w:hanging="0"/>
              <w:jc w:val="center"/>
              <w:rPr/>
            </w:pPr>
            <w:r>
              <w:rPr/>
              <w:t>​</w:t>
            </w:r>
          </w:p>
        </w:tc>
        <w:tc>
          <w:tcPr>
            <w:tcW w:w="774" w:type="dxa"/>
            <w:tcBorders/>
            <w:vAlign w:val="center"/>
          </w:tcPr>
          <w:p>
            <w:pPr>
              <w:pStyle w:val="TableContents"/>
              <w:bidi w:val="0"/>
              <w:spacing w:before="0" w:after="1"/>
              <w:ind w:left="0" w:right="0" w:hanging="0"/>
              <w:jc w:val="center"/>
              <w:rPr/>
            </w:pPr>
            <w:r>
              <w:rPr/>
              <w:t>​</w:t>
            </w:r>
          </w:p>
        </w:tc>
        <w:tc>
          <w:tcPr>
            <w:tcW w:w="1225"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1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22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c>
          <w:tcPr>
            <w:tcW w:w="361" w:type="dxa"/>
            <w:tcBorders/>
            <w:vAlign w:val="center"/>
          </w:tcPr>
          <w:p>
            <w:pPr>
              <w:pStyle w:val="TableContents"/>
              <w:bidi w:val="0"/>
              <w:spacing w:before="0" w:after="1"/>
              <w:ind w:left="0" w:right="0" w:hanging="0"/>
              <w:jc w:val="center"/>
              <w:rPr/>
            </w:pPr>
            <w:r>
              <w:rPr/>
              <w:t>    </w:t>
            </w:r>
          </w:p>
        </w:tc>
        <w:tc>
          <w:tcPr>
            <w:tcW w:w="6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1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2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774" w:type="dxa"/>
            <w:tcBorders/>
            <w:vAlign w:val="center"/>
          </w:tcPr>
          <w:p>
            <w:pPr>
              <w:pStyle w:val="TableContents"/>
              <w:bidi w:val="0"/>
              <w:spacing w:before="0" w:after="1"/>
              <w:ind w:left="0" w:right="0" w:hanging="0"/>
              <w:jc w:val="center"/>
              <w:rPr/>
            </w:pPr>
            <w:r>
              <w:rPr/>
              <w:t>    </w:t>
            </w:r>
          </w:p>
        </w:tc>
        <w:tc>
          <w:tcPr>
            <w:tcW w:w="122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center"/>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Payout range</w:t>
            </w:r>
          </w:p>
        </w:tc>
        <w:tc>
          <w:tcPr>
            <w:tcW w:w="32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82.61</w:t>
            </w:r>
          </w:p>
        </w:tc>
        <w:tc>
          <w:tcPr>
            <w:tcW w:w="7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and nine-month periods ended September 30, 2025, the payout rate approximates the pay-out rate as compared to 2024.</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Employee compensation and benefits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Employee compensation and benefits includes salaries, wages, benefits and related taxes for our employees.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Employee compensation and benefits for the three and nine-month period ended September 30, 2025 increased by approximately $0.7 million and $3.0 million as compared to September 30, 2024, which is directly related to the additional personnel costs attributed to the Company now operating as a public company, including issuance of non-cash compensation awards to officers and directors during the period ended September 30, 2025.</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Rent and occupancy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Rent and occupancy remained relatively consistent for the three and nine-month period ended September 30, 2025 as compared to September 30, 2024.</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Professional fees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Professional fees includes costs incurred related to legal and accounting services. Professional fees for the three-month period ended September 30, 2025 as compared to 2024 decreased by approximately $0.6 million. Professional fees for the nine-month period ended September 30, 2025, as compared to 2024, decreased by $4.3 million, which is directly related to the non-recurring transaction costs associated with the closing of the Business Combination that were incurred during the period ended September 30, 2024.</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Technology fees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Technology fees primarily represent infrastructure costs that support the Company’s technology and communications costs. Technology fees increased by $0.2 million and $1.0 million and for the three and nine-month period ended September 30, 2025, respectively, as compared to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Interest expense primarily includes interest associated with the Company’s credit facility and other debt obligations. Interest expense decreased by $0.1 million and $1.0 million for the three and nine-month period ended September 30, 2025, respectively, as compared to 2024 resulting from the repayment and restructuring of the related party debt obligations of BMS and the re-financing of the senior credit facility.</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Depreciation and amortization relates to the use of property, equipment and leasehold improvements. Amortization also includes the amortization related to certain intangible assets.</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Other expense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Other expense includes insurance, travel-related expenses, office expenses, marketing and other miscellaneous expenses.</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Our effective income tax rate was approximately 22% for the nine-month period ended September 30, 2025 as compared to (26)% for the same period in 2024. The increase in our effective tax rate was related to the net income generated for the nine-month period ended September 30, 2025.</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have established liquidity policies intended to support the execution of strategic initiatives, while meeting regulatory capital requirements and maintaining ongoing and sufficient liquidity. We believe liquidity is of critical importance to the Company and, in particular, to our broker-dealer subsidiaries, PKSI, CLS, MSI and WEG. The objective of our policies is to ensure that we can meet our strategic, operational and regulatory liquidity and capital requirements under both normal operating conditions and under periods of stress in the financial markets.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Parent Company Liquidity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Binah Capital Group, Inc. through its indirectly wholly owned subsidiary BMS, is the direct holding company of our operating subsidiaries, and considers its primary sources of liquidity to be dividends and management fees from our operating subsidiaries.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September 30, 2025, we had $18.2 million outstanding under our Credit Agreement with Byline Bank, net of unamortized debt issuance costs. The associated debt facilities are as follows: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Byline Bank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December 23, 2024 (the “Credit Agreement Closing Date”), BMS, entered into a Credit Agreement (the “Credit Agreement”) with Byline Bank, as lender (the “Lender”), pursuant to which the Lender agreed, at the BMS’s request, to (i) make to BMS a term loan in the original principal amount of $20.3 million (the “Term Loan”), which was funded on the Credit Agreement Closing Date; (ii) make to BMS, from time to time, certain non-revolving loans (the “Non-Revolving Loans”) in an aggregate principal amount of up to $1.0 million (the “Non-Revolving Loan Commitment”), to be funded through, but excluding, the Maturity Date (as defined below); and (iii) issue to BMS, from time to time, letters of credit (the “Letters of Credit” and together with the Term Loan and Non-Revolving Loans, the “Loans”) until the earliest to occur of (a) the one year from the Credit Agreement Closing Date and (b) the date on which the Non-Revolving Loans are fully drawn. As of September 30, 2025 and December 31, 2024, the outstanding balance on the Term Loan was $18.2 million and $19.6 million, net of debt issuance costs, respectively.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terms of the Credit Agreement, to the extent that BMS requests a Letter of Credit, the Non-Revolving Loan Commitment shall be permanently reduced in an amount equal to the amount of such Letter of Credit. The Non-Revolving Loans may not be requested by BMS and may only be advanced in connection with a repayment of a Letter of Credit (“LC Payment”). As of September 30, 2025 and December 31, 2024, there are no amounts outstanding under the Non-Revolving Loan or Letters of Credit.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Loans (both principal and any remaining unpaid interest) made by the Lender to BMS are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“Term Loan Interest Rate”); (ii) as to the Non-Revolving Loans or any reimbursement obligations relating to a Letter of Credit, at an interest rate equal to SOFR plus four percent (4.00%) per annum; and (iii) if any other obligations is created under the Loan Documents (as defined in the Credit Agreement), at the Term Loan Interest Rate. As of September 30, 2025 and December 31, 2024, the effective interest rate was approximately 8.2% and 8.3%, respectively.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April 10, 2025, BMS entered into an interest rate swap agreement with a notional amount of $10 million in connection with the above-mentioned Credit Agreement. Under the terms of the swap, BMS pays a fixed rate of 3.98% plus four percent (4.00%) and receives a variable interest rate based on SOFR plus 4.00% as defined above. The swap agreement requires monthly payments to be made or received. The swap is designated as cash flow hedge of the variability of the SOFR-based interest payments on $10 million of BMS’s outstanding variable-rate debt.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September 30, 2025, the interest rate swap had a fair value of $0.2 million and was recorded as a liability and included in accounts payable, accrued expenses and other liabilities on the condensed consolidated statement of financial condition. The Company has adopted the shortcut method allowing it to assume perfect hedge effectiveness. Changes in the effective portion of the swap’s fair value are recognized in accumulated other comprehensive income (“AOCI”).</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Term Loan was used by BMS to refinance Existing Credit Facilities (as defined in the Credit Agreement) and the Non-Revolving Loans must be used solely to reimburse the Lender with respect to any Letters of Credit issued to BMS. The Term Loan refinanced and retired the previous Oak Street Funding Facility.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Credit Agreement also includes customary covenants for a transaction of this type, including covenants limiting the indebtedness that can be incurred by BMS and restricting BMS’s ability to make certain loans and investments. Additionally, BMS is subject to financial covenants whereby BMS and its subsidiaries on a consolidated basis may not have, as of the last day of each fiscal quarter, commencing with fiscal quarter ending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September 30, 2025, not more than 3.00 to 1.00; and (B) for the fiscal quarter ended December 31, 2025 and each fiscal quarter ending thereafter, not more than 2.75 to 1.00; or (iii) an annualized revenue received from custodians of at least $18.0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in accordance with the Credit Agreement, BMS has deposited $1.0 million into an A/P Reserve Account and is classified as restricted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minimum calendar year payments and maturities of the Term Loan as of September 30, 2025 were as follows (</w:t>
      </w:r>
      <w:r>
        <w:rPr>
          <w:rFonts w:ascii="Times New Roman;Times;serif" w:hAnsi="Times New Roman;Times;serif"/>
          <w:b/>
          <w:sz w:val="20"/>
        </w:rPr>
        <w:t>in thousands</w:t>
      </w:r>
      <w:r>
        <w:rPr>
          <w:rFonts w:ascii="Times New Roman;Times;serif" w:hAnsi="Times New Roman;Times;serif"/>
          <w:sz w:val="20"/>
        </w:rPr>
        <w:t>)</w:t>
      </w:r>
      <w:r>
        <w:rPr>
          <w:rFonts w:ascii="Times New Roman;Times;serif" w:hAnsi="Times New Roman;Times;serif"/>
          <w:b/>
          <w:sz w:val="20"/>
        </w:rPr>
        <w:t>:</w:t>
      </w:r>
    </w:p>
    <w:tbl>
      <w:tblPr>
        <w:tblW w:w="1859" w:type="dxa"/>
        <w:jc w:val="left"/>
        <w:tblInd w:w="0" w:type="dxa"/>
        <w:tblLayout w:type="fixed"/>
        <w:tblCellMar>
          <w:top w:w="0" w:type="dxa"/>
          <w:left w:w="0" w:type="dxa"/>
          <w:bottom w:w="0" w:type="dxa"/>
          <w:right w:w="0" w:type="dxa"/>
        </w:tblCellMar>
      </w:tblPr>
      <w:tblGrid>
        <w:gridCol w:w="541"/>
        <w:gridCol w:w="326"/>
        <w:gridCol w:w="211"/>
        <w:gridCol w:w="78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43535" cy="175260"/>
                      <wp:effectExtent l="0" t="0" r="0" b="0"/>
                      <wp:wrapNone/>
                      <wp:docPr id="324" name="Frame32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95935" cy="175260"/>
                      <wp:effectExtent l="0" t="0" r="0" b="0"/>
                      <wp:wrapNone/>
                      <wp:docPr id="327" name="Frame3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center"/>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10,150</w:t>
            </w:r>
          </w:p>
        </w:tc>
      </w:tr>
      <w:tr>
        <w:trPr/>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18,777</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Series A Redeemable Convertible 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15, 2024 (the “Funding Date”) in connection with the consummation of the Business Combination, Holdings and Wentworth entered into a Subscription Agreement with an investor for the purchase of 1,500,000 shares of Holdings’ Series A Redeemable Convertible Preferred Stock (the “</w:t>
      </w:r>
      <w:r>
        <w:rPr>
          <w:rFonts w:ascii="Times New Roman;Times;serif" w:hAnsi="Times New Roman;Times;serif"/>
          <w:b/>
          <w:i/>
          <w:sz w:val="20"/>
        </w:rPr>
        <w:t>Holdings Series A Stock</w:t>
      </w:r>
      <w:r>
        <w:rPr>
          <w:rFonts w:ascii="Times New Roman;Times;serif" w:hAnsi="Times New Roman;Times;serif"/>
          <w:sz w:val="20"/>
        </w:rPr>
        <w:t>”) in a private placement at $9.60 per share, for an aggregate purchase price of $14.4 million (the “</w:t>
      </w:r>
      <w:r>
        <w:rPr>
          <w:rFonts w:ascii="Times New Roman;Times;serif" w:hAnsi="Times New Roman;Times;serif"/>
          <w:b/>
          <w:i/>
          <w:sz w:val="20"/>
        </w:rPr>
        <w:t>Series A PIPE</w:t>
      </w:r>
      <w:r>
        <w:rPr>
          <w:rFonts w:ascii="Times New Roman;Times;serif" w:hAnsi="Times New Roman;Times;serif"/>
          <w:sz w:val="20"/>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As of September 30, 2025, the Company accrued 50% of the dividend to be paid in cash in the amount of $0.2 million and paid an in - kind dividend in the amount $0.2 million. As of December 31, 2024, the Company accrued 50% of the dividend to be paid in cash in the approximate amount of $0.2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Holdings Series A Stock has liquidation preferences in the event of a voluntary or involuntary liquidation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greater of $12.50 per share of Holdings Series A Stock if such liquidation occurs prior to the first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per share of Holdings Series A Stock if such liquidation occurs prior to the second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per share of Holdings Series A Stock if such liquidation occurs prior to the third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 per share of Holdings Series A Stock if such liquidation occurs prior to the fourth anniversary of the Funding 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Holdings, at its option, may redeem the Series A Stock on any anniversary of the Funding date up to an including the fourth anniversary of the Funding date at the following redemption prices:</w:t>
      </w:r>
    </w:p>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per share of Series A Stock on the first anniversary of the Funding Date;</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per share of Series A Stock on the second anniversary of the Funding Date;</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per share of Series A Stock on the third anniversary of the Funding Date;</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 per share of Series A Stock on the fourth anniversary of the Funding 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Series A Stock have not previously been redeemed or converted, the Series A Stock will be redeemed by Holdings on the fourth anniversary of the Funding Date.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Series B Convertible Preferred Stock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4, 2024, the Company entered into a Subscription Agreement with an investor for the purchase of 150,000 shares of Holdings’ Series B Convertible Preferred Stock (the “</w:t>
      </w:r>
      <w:r>
        <w:rPr>
          <w:rFonts w:ascii="Times New Roman;Times;serif" w:hAnsi="Times New Roman;Times;serif"/>
          <w:b/>
          <w:i/>
          <w:sz w:val="20"/>
        </w:rPr>
        <w:t>Holdings Series B Stock</w:t>
      </w:r>
      <w:r>
        <w:rPr>
          <w:rFonts w:ascii="Times New Roman;Times;serif" w:hAnsi="Times New Roman;Times;serif"/>
          <w:sz w:val="20"/>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 80 multiplied by, (B) the volume weighted average price for the 20 trading days during the 30-day period immediately prior to such conversion, provided that in no event shall the denominator be less than $6.00 per share (the “Conversion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Holdings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September 30, 2025 and December 31, 2024, included in accounts payable, accrued expenses and other liabilities on the accompanying condensed consolidated statements of financial condition is an accrued dividend in the amount of $0.03 million that was paid subsequent to September 30, 2025 and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Promissory notes - affiliates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30, 2017, Wentworth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paid.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in connection with the acquisition of the PKSH Entities, the Company agreed to pay contingent consideration in the amount of $5.0 million to certain sellers. The conditions related to this contingency were met on November 30, 2018, and thus the notes had been issued to the sellers. These subordinated promissory notes had a maturity date of May 30, 2023, and accrued interest at a rate of 10% annually. The interest on these notes continued to accrue until such time as these notes were paid.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closing of the Business Combination, the Company paid approximately $3.4 million on these notes. In addition to the paydown, the noteholders (all of whom are stockholders and/or key employees) agreed to forgive the remaining accrued but unpaid interest of approximately $3.8 million and entered into new promissory notes in the principal amount of approximately $5.3 million in the aggregate. The amounts outstanding as of September 30, 2025 was $5.3 million. The amount outstanding as of December 31, 2024 was $5.4 million which included accrued interest that was paid subsequently. The terms of these new promissory notes provide for maturity on May 15, 2027 and carries an interest rate of Prime plus 1.00%, but no less than 7.50% per annum. Related interest expense was approximately $0.4 million and $0.3 million for the nine months ended September 30, 2025 and 2024,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a summary of cash flows for the nine-month periods ended September 30, 2025 and 2024:</w:t>
      </w:r>
    </w:p>
    <w:tbl>
      <w:tblPr>
        <w:tblW w:w="6717" w:type="dxa"/>
        <w:jc w:val="left"/>
        <w:tblInd w:w="0" w:type="dxa"/>
        <w:tblLayout w:type="fixed"/>
        <w:tblCellMar>
          <w:top w:w="0" w:type="dxa"/>
          <w:left w:w="0" w:type="dxa"/>
          <w:bottom w:w="0" w:type="dxa"/>
          <w:right w:w="0" w:type="dxa"/>
        </w:tblCellMar>
      </w:tblPr>
      <w:tblGrid>
        <w:gridCol w:w="4216"/>
        <w:gridCol w:w="326"/>
        <w:gridCol w:w="211"/>
        <w:gridCol w:w="691"/>
        <w:gridCol w:w="326"/>
        <w:gridCol w:w="211"/>
        <w:gridCol w:w="73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677160" cy="175260"/>
                      <wp:effectExtent l="0" t="0" r="0" b="0"/>
                      <wp:wrapNone/>
                      <wp:docPr id="328" name="Frame328"/>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38785" cy="175260"/>
                      <wp:effectExtent l="0" t="0" r="0" b="0"/>
                      <wp:wrapNone/>
                      <wp:docPr id="331" name="Frame33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67360" cy="175260"/>
                      <wp:effectExtent l="0" t="0" r="0" b="0"/>
                      <wp:wrapNone/>
                      <wp:docPr id="334" name="Frame33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(2,433)</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change in cash flows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from Operating Activities</w:t>
      </w:r>
      <w:r>
        <w:rPr>
          <w:rFonts w:ascii="Times New Roman;Times;serif" w:hAnsi="Times New Roman;Times;serif"/>
          <w:sz w:val="20"/>
        </w:rPr>
        <w:t>. Net cash provided by operating activities was $2.0 million for the nine-month period ended September 30, 2025, compared to net cash used in of $2.4 million for the nine-month period ended September 30, 2024, representing an increase of approximately $4.5 million or 185%. The increase was primarily attributable to the decrease in the net loss of approximately $3.5 million to net income of $2.1 million or a change of $5.5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from Investing Activities</w:t>
      </w:r>
      <w:r>
        <w:rPr>
          <w:rFonts w:ascii="Times New Roman;Times;serif" w:hAnsi="Times New Roman;Times;serif"/>
          <w:sz w:val="20"/>
        </w:rPr>
        <w:t>. Net cash used in investing activities was $0.1 million for the nine-month period ended September 30, 2025, compared with the $0.02 million for the nine-month period ended September 30,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from Financing Activities</w:t>
      </w:r>
      <w:r>
        <w:rPr>
          <w:rFonts w:ascii="Times New Roman;Times;serif" w:hAnsi="Times New Roman;Times;serif"/>
          <w:sz w:val="20"/>
        </w:rPr>
        <w:t>. Net cash used in financing activities was approximately $2.1 million for the nine-month period ended September 30, 2025 compared to cash provided by financing activities of approximately $2.1 million for the nine-month period ended September 30, 2024. The change is primarily related to the proceeds received from the Redeemable Convertible Preferred Financing and the exercise of warrants offset by the repayments of the BMS related party debt obligations.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our contractual obligations and other commitments as of September 30, 2025:</w:t>
      </w:r>
    </w:p>
    <w:tbl>
      <w:tblPr>
        <w:tblW w:w="9754" w:type="dxa"/>
        <w:jc w:val="left"/>
        <w:tblInd w:w="0" w:type="dxa"/>
        <w:tblLayout w:type="fixed"/>
        <w:tblCellMar>
          <w:top w:w="0" w:type="dxa"/>
          <w:left w:w="0" w:type="dxa"/>
          <w:bottom w:w="0" w:type="dxa"/>
          <w:right w:w="0" w:type="dxa"/>
        </w:tblCellMar>
      </w:tblPr>
      <w:tblGrid>
        <w:gridCol w:w="2626"/>
        <w:gridCol w:w="326"/>
        <w:gridCol w:w="211"/>
        <w:gridCol w:w="676"/>
        <w:gridCol w:w="326"/>
        <w:gridCol w:w="356"/>
        <w:gridCol w:w="965"/>
        <w:gridCol w:w="326"/>
        <w:gridCol w:w="211"/>
        <w:gridCol w:w="676"/>
        <w:gridCol w:w="326"/>
        <w:gridCol w:w="211"/>
        <w:gridCol w:w="676"/>
        <w:gridCol w:w="326"/>
        <w:gridCol w:w="483"/>
        <w:gridCol w:w="1033"/>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667510" cy="175260"/>
                      <wp:effectExtent l="0" t="0" r="0" b="0"/>
                      <wp:wrapNone/>
                      <wp:docPr id="335" name="Frame335"/>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29260" cy="175260"/>
                      <wp:effectExtent l="0" t="0" r="0" b="0"/>
                      <wp:wrapNone/>
                      <wp:docPr id="338" name="Frame3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26060" cy="175260"/>
                      <wp:effectExtent l="0" t="0" r="0" b="0"/>
                      <wp:wrapNone/>
                      <wp:docPr id="340" name="Frame340"/>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12775" cy="175260"/>
                      <wp:effectExtent l="0" t="0" r="0" b="0"/>
                      <wp:wrapNone/>
                      <wp:docPr id="341" name="Frame341"/>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29260" cy="175260"/>
                      <wp:effectExtent l="0" t="0" r="0" b="0"/>
                      <wp:wrapNone/>
                      <wp:docPr id="344" name="Frame3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29260" cy="175260"/>
                      <wp:effectExtent l="0" t="0" r="0" b="0"/>
                      <wp:wrapNone/>
                      <wp:docPr id="347" name="Frame3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06705" cy="175260"/>
                      <wp:effectExtent l="0" t="0" r="0" b="0"/>
                      <wp:wrapNone/>
                      <wp:docPr id="349" name="Frame349"/>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55955" cy="175260"/>
                      <wp:effectExtent l="0" t="0" r="0" b="0"/>
                      <wp:wrapNone/>
                      <wp:docPr id="350" name="Frame350"/>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80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center"/>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 Year</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Years</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3-5 Years</w:t>
            </w:r>
          </w:p>
        </w:tc>
        <w:tc>
          <w:tcPr>
            <w:tcW w:w="326" w:type="dxa"/>
            <w:tcBorders/>
            <w:vAlign w:val="center"/>
          </w:tcPr>
          <w:p>
            <w:pPr>
              <w:pStyle w:val="TableContents"/>
              <w:bidi w:val="0"/>
              <w:spacing w:before="0" w:after="1"/>
              <w:ind w:left="0" w:right="0" w:hanging="0"/>
              <w:jc w:val="center"/>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 5 Years</w:t>
            </w:r>
          </w:p>
        </w:tc>
      </w:tr>
      <w:tr>
        <w:trPr/>
        <w:tc>
          <w:tcPr>
            <w:tcW w:w="9754"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Contractual obligations</w:t>
            </w:r>
          </w:p>
        </w:tc>
        <w:tc>
          <w:tcPr>
            <w:tcW w:w="326" w:type="dxa"/>
            <w:tcBorders/>
            <w:vAlign w:val="center"/>
          </w:tcPr>
          <w:p>
            <w:pPr>
              <w:pStyle w:val="TableContents"/>
              <w:bidi w:val="0"/>
              <w:spacing w:before="0" w:after="1"/>
              <w:ind w:left="0" w:right="0" w:hanging="0"/>
              <w:jc w:val="left"/>
              <w:rPr/>
            </w:pPr>
            <w:r>
              <w:rPr/>
              <w:t> </w:t>
            </w:r>
          </w:p>
        </w:tc>
        <w:tc>
          <w:tcPr>
            <w:tcW w:w="6802" w:type="dxa"/>
            <w:gridSpan w:val="1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 obligations (1)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18,777</w:t>
            </w:r>
          </w:p>
        </w:tc>
        <w:tc>
          <w:tcPr>
            <w:tcW w:w="32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10,150</w:t>
            </w:r>
          </w:p>
        </w:tc>
        <w:tc>
          <w:tcPr>
            <w:tcW w:w="326" w:type="dxa"/>
            <w:tcBorders/>
            <w:shd w:fill="CCEEFF" w:val="clear"/>
            <w:vAlign w:val="center"/>
          </w:tcPr>
          <w:p>
            <w:pPr>
              <w:pStyle w:val="TableContents"/>
              <w:bidi w:val="0"/>
              <w:spacing w:before="0" w:after="1"/>
              <w:ind w:left="0" w:right="0" w:hanging="0"/>
              <w:jc w:val="left"/>
              <w:rPr/>
            </w:pPr>
            <w:r>
              <w:rPr/>
              <w:t>​</w:t>
            </w:r>
          </w:p>
        </w:tc>
        <w:tc>
          <w:tcPr>
            <w:tcW w:w="4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1"/>
              <w:ind w:left="0" w:right="0" w:hanging="0"/>
              <w:jc w:val="right"/>
              <w:rPr/>
            </w:pPr>
            <w:r>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Promissory notes - affiliates (2)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5,313</w:t>
            </w:r>
          </w:p>
        </w:tc>
        <w:tc>
          <w:tcPr>
            <w:tcW w:w="32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 </w:t>
            </w:r>
          </w:p>
        </w:tc>
        <w:tc>
          <w:tcPr>
            <w:tcW w:w="9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3" w:type="dxa"/>
            <w:tcBorders/>
            <w:vAlign w:val="center"/>
          </w:tcPr>
          <w:p>
            <w:pPr>
              <w:pStyle w:val="TableContents"/>
              <w:bidi w:val="0"/>
              <w:spacing w:before="0" w:after="1"/>
              <w:ind w:left="0" w:right="0" w:hanging="0"/>
              <w:jc w:val="left"/>
              <w:rPr/>
            </w:pPr>
            <w:r>
              <w:rPr/>
              <w:t> </w:t>
            </w:r>
          </w:p>
        </w:tc>
        <w:tc>
          <w:tcPr>
            <w:tcW w:w="1033" w:type="dxa"/>
            <w:tcBorders/>
            <w:vAlign w:val="center"/>
          </w:tcPr>
          <w:p>
            <w:pPr>
              <w:pStyle w:val="TableContents"/>
              <w:bidi w:val="0"/>
              <w:spacing w:before="0" w:after="1"/>
              <w:ind w:left="0" w:right="0" w:hanging="0"/>
              <w:jc w:val="right"/>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obligations (3)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4,405</w:t>
            </w:r>
          </w:p>
        </w:tc>
        <w:tc>
          <w:tcPr>
            <w:tcW w:w="326" w:type="dxa"/>
            <w:tcBorders/>
            <w:shd w:fill="CCEEFF" w:val="cle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326" w:type="dxa"/>
            <w:tcBorders/>
            <w:shd w:fill="CCEEFF" w:val="clear"/>
            <w:vAlign w:val="center"/>
          </w:tcPr>
          <w:p>
            <w:pPr>
              <w:pStyle w:val="TableContents"/>
              <w:bidi w:val="0"/>
              <w:spacing w:before="0" w:after="1"/>
              <w:ind w:left="0" w:right="0" w:hanging="0"/>
              <w:jc w:val="left"/>
              <w:rPr/>
            </w:pPr>
            <w:r>
              <w:rPr/>
              <w:t>​</w:t>
            </w:r>
          </w:p>
        </w:tc>
        <w:tc>
          <w:tcPr>
            <w:tcW w:w="4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28,495</w:t>
            </w:r>
          </w:p>
        </w:tc>
        <w:tc>
          <w:tcPr>
            <w:tcW w:w="326" w:type="dxa"/>
            <w:tcBorders/>
            <w:vAlign w:val="center"/>
          </w:tcPr>
          <w:p>
            <w:pPr>
              <w:pStyle w:val="TableContents"/>
              <w:bidi w:val="0"/>
              <w:spacing w:before="0" w:after="1"/>
              <w:ind w:left="0" w:right="0" w:hanging="0"/>
              <w:jc w:val="left"/>
              <w:rPr/>
            </w:pPr>
            <w:r>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15,661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11,550</w:t>
            </w:r>
          </w:p>
        </w:tc>
        <w:tc>
          <w:tcPr>
            <w:tcW w:w="326" w:type="dxa"/>
            <w:tcBorders/>
            <w:vAlign w:val="center"/>
          </w:tcPr>
          <w:p>
            <w:pPr>
              <w:pStyle w:val="TableContents"/>
              <w:bidi w:val="0"/>
              <w:spacing w:before="0" w:after="1"/>
              <w:ind w:left="0" w:right="0" w:hanging="0"/>
              <w:jc w:val="left"/>
              <w:rPr/>
            </w:pPr>
            <w:r>
              <w:rPr/>
              <w:t>​</w:t>
            </w:r>
          </w:p>
        </w:tc>
        <w:tc>
          <w:tcPr>
            <w:tcW w:w="4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principal obligations related to the Byline Credit Agreement that was entered into during the year ended December 31, 2024.</w:t>
            </w:r>
          </w:p>
        </w:tc>
      </w:tr>
    </w:tbl>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obligations under the amounts due to certain sellers of the PKSH entities. The notes mature in March 2027.</w:t>
            </w:r>
          </w:p>
        </w:tc>
      </w:tr>
    </w:tbl>
    <w:tbl>
      <w:tblPr>
        <w:tblW w:w="9017" w:type="dxa"/>
        <w:jc w:val="left"/>
        <w:tblInd w:w="0" w:type="dxa"/>
        <w:tblLayout w:type="fixed"/>
        <w:tblCellMar>
          <w:top w:w="0" w:type="dxa"/>
          <w:left w:w="0" w:type="dxa"/>
          <w:bottom w:w="0" w:type="dxa"/>
          <w:right w:w="0" w:type="dxa"/>
        </w:tblCellMar>
      </w:tblPr>
      <w:tblGrid>
        <w:gridCol w:w="346"/>
        <w:gridCol w:w="86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future minimum lease payments as of September 30, 2025, under non-cancelable office leases.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in the consolidated financial statements and accompanying notes. Although these estimates are based on the Company’s knowledge of current events and actions the Company may undertake in the future, actual results could differ from those estimates and assumptions.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define our critical accounting policies and estimates as those that require us to make subjective judgments about matters that are uncertain and are likely to have a material impact on our financial condition and results of operations as well as the specific manner in which we apply those principles. We believe the critical accounting policies used in the preparation of our financial statements which require significant estimates and judgments are as follows: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contracts with customers are recognized when control of the promised services is transferred to customers, in an amount that reflects the consideration the Company expects to be entitled to in exchange for those services. Management exercises judgment in determining whether the Company is the principal (i.e., reports revenues on a gross basis) or agent (i.e., reports revenue on a net basis). For additional information see Note 4 in the condensed consolidated financial statements as of and for the three and nine-months periods ended September 30, 2025 and 2024.</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Goodwill and Other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Goodwill and other intangible assets are tested annually for impairment or if certain events occur indicating that the carrying amounts may be impaired. We have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more likely than not that the fair value of a reporting unit is greater than its carrying amount, then performing the two-step impairment test is not required. However, if we conclude otherwise, we are then required to perform the first step of the two-step impairment test. Goodwill impairment is determined by comparing the estimated fair value of a reporting unit with its respective carrying value. If the estimated fair value exceeds the carrying value, goodwill at the reporting unit level is not deemed to be impaired. If the estimated fair value is below the carrying value, however, further analysis is required to determine the amount of the impairment. Additionally, if the carrying value of a reporting unit is zero or a negative value and it is determined that it is more likely than not the goodwill is impaired, further analysis is required. The estimated fair values of the reporting units are derived based on valuation techniques we believe market participants would use for each of the reporting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performed our goodwill impairment test as of and for the years ended December 31, 2024, and 2023. The estimated fair value of the reporting units were determined using the market approach for each reporting unit, relying specifically on the guideline public company method. Our guideline public company method incorporates revenue and earnings multiples from publicly traded companies with operations and other characteristics similar to each reporting unit. As a result of the 2024 and 2023 annual impairment tests, the fair value of the reporting units was approximately 270% and 257% greater than its carrying value, respectively. Since there have been no events or circumstances which indicated that it was more likely than not the fair value of the reporting units were below their carrying amount, interim goodwill tests were not considered necessary.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goodwill impairment test requires us to make judgments in determining what assumptions to use in the calculation. Assumptions, judgments, and estimates about future cash flows and discount rates are complex and often subjective. They can be affected by a variety of factors, including, among others, economic trends and market conditions, changes in revenue growth trends or business strategies, unanticipated competition, discount rates, technology, or government regulations. In assessing the fair value of our reporting units, the volatile nature of the securities markets and industry requires us to consider the business and market cycle and assess the stage of the cycle in estimating the timing and extent of future cash flows. In addition to discounted cash flows, we consider other information, such as public market comparable and multiples of recent mergers and acquisitions of similar businesses. Although we believe the assumptions, judgments, and estimates we have made in the past have been reasonable and appropriate, different assumptions, judgments, and estimates could materially affect our reported financial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Contingent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Refer to Note 2 - </w:t>
      </w:r>
      <w:r>
        <w:rPr>
          <w:rFonts w:ascii="Times New Roman;Times;serif" w:hAnsi="Times New Roman;Times;serif"/>
          <w:i/>
          <w:sz w:val="20"/>
        </w:rPr>
        <w:t>Summary of Significant Accounting Policies,</w:t>
      </w:r>
      <w:r>
        <w:rPr>
          <w:rFonts w:ascii="Times New Roman;Times;serif" w:hAnsi="Times New Roman;Times;serif"/>
          <w:sz w:val="20"/>
        </w:rPr>
        <w:t> within the notes to the condensed consolidated financial statements for a discussion of recent accounting pronouncements or changes in accounting pronouncements that are of significance, or potential significance, to us.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597" w:name="Item3QuantitativeandQualitativeDisclosur"/>
      <w:bookmarkStart w:id="1598" w:name="_299dfa56_93e8_4af7_8b3d_9d2b670a1c15"/>
      <w:bookmarkEnd w:id="1597"/>
      <w:bookmarkEnd w:id="1598"/>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risk associated with changes in interest rates. As of September 30, 2025, $8.6 million of our outstanding debt was subject to floating interest rate risk. While our senior secured term loan is subject to increases in interest rates, we do not believe that a short-term change in interest rates would have a material impact on our net income, given revenue generated by our share of the interest earned in our clients’ cash balances held at our clearing brokers, which is generally subject to the same, but offsetting interest rate risk.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Credit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uncollectible accounts and, consequently, believes that its receivables credit risk exposure beyond such allowances is limited.</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599" w:name="Item4ControlsandProcedures_897667"/>
      <w:bookmarkStart w:id="1600" w:name="_6faaf2d0_6fff_4a4b_928b_28dfb361e754"/>
      <w:bookmarkEnd w:id="1599"/>
      <w:bookmarkEnd w:id="1600"/>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and accounting officer, we conducted an evaluation of the effectiveness of our disclosure controls and procedures as of September 30, 2025, as such term is defined in Rules 13a-15(e) and 15d-15(e) under the Exchange Act. Based on this evaluation, our principal executive officer and principal financial and accounting officer have concluded that as of September 30, 2025, our disclosure controls and procedures were effective.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01" w:name="PARTIIOTHERINFORMATION_669421"/>
      <w:bookmarkStart w:id="1602" w:name="_b9cd891c_6c37_41eb_a867_c0f552952760"/>
      <w:bookmarkEnd w:id="1601"/>
      <w:bookmarkEnd w:id="1602"/>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603" w:name="Item1LegalProceedings_136582"/>
      <w:bookmarkEnd w:id="1603"/>
      <w:r>
        <w:rPr>
          <w:rFonts w:ascii="Times New Roman;Times;serif" w:hAnsi="Times New Roman;Times;serif"/>
          <w:b/>
          <w:sz w:val="20"/>
        </w:rPr>
        <w:t>Item 1.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be party to various claims and legal proceedings from time to time. We are not subject to any pending material legal proceedings, nor, to our knowledge, is any material legal proceeding threatened against us or any of our officers or directors in their capacity as such.</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604" w:name="Item1ARiskFactors_232141"/>
      <w:bookmarkStart w:id="1605" w:name="_b4d8c3ec_4ddf_46c1_b3f4_301169fd2bed"/>
      <w:bookmarkEnd w:id="1604"/>
      <w:bookmarkEnd w:id="1605"/>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material changes to the information previously disclosed in “Item 1A. Risk Factors” in our Annual Report on Form 10-K for the year ended December 31, 2024.</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606" w:name="Item2UnregisteredSalesofEquitySecurities"/>
      <w:bookmarkStart w:id="1607" w:name="_c55528a9_b414_4868_9a78_bc485ed3a1d0"/>
      <w:bookmarkEnd w:id="1606"/>
      <w:bookmarkEnd w:id="1607"/>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608" w:name="Item3DefaultsUponSeniorSecurities_274430"/>
      <w:bookmarkStart w:id="1609" w:name="_8a634d3f_c4b8_4c28_a84c_95ae359a0825"/>
      <w:bookmarkEnd w:id="1608"/>
      <w:bookmarkEnd w:id="1609"/>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610" w:name="Item4MineSafetyDisclosures_234246"/>
      <w:bookmarkStart w:id="1611" w:name="_7749119a_d802_4935_b007_48c392858daf"/>
      <w:bookmarkEnd w:id="1610"/>
      <w:bookmarkEnd w:id="1611"/>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612" w:name="_0d6cae12_5568_4ddd_95bd_c573d31442f4"/>
      <w:bookmarkStart w:id="1613" w:name="Item5OtherInformation_394466"/>
      <w:bookmarkEnd w:id="1612"/>
      <w:bookmarkEnd w:id="1613"/>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14" w:name="Item6Exhibits_564430"/>
      <w:bookmarkStart w:id="1615" w:name="_04a1b3fc_0207_49c4_9b9d_7221327f593f"/>
      <w:bookmarkEnd w:id="1614"/>
      <w:bookmarkEnd w:id="1615"/>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850"/>
        <w:gridCol w:w="326"/>
        <w:gridCol w:w="9029"/>
      </w:tblGrid>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    </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50930xex31d1.htm">
              <w:r>
                <w:rPr>
                  <w:rStyle w:val="InternetLink"/>
                  <w:rFonts w:ascii="Times New Roman;Times;serif" w:hAnsi="Times New Roman;Times;serif"/>
                  <w:b w:val="false"/>
                  <w:i w:val="false"/>
                  <w:caps w:val="false"/>
                  <w:smallCaps w:val="false"/>
                  <w:sz w:val="20"/>
                </w:rPr>
                <w:t>Certification of Craig Gould, Chief Executive Officer, pursuant to Rule 13a-14(a) under the Securities Exchange Act of 1934, as amended.</w:t>
              </w:r>
            </w:hyperlink>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50930xex31d2.htm">
              <w:r>
                <w:rPr>
                  <w:rStyle w:val="InternetLink"/>
                  <w:rFonts w:ascii="Times New Roman;Times;serif" w:hAnsi="Times New Roman;Times;serif"/>
                  <w:b w:val="false"/>
                  <w:i w:val="false"/>
                  <w:caps w:val="false"/>
                  <w:smallCaps w:val="false"/>
                  <w:sz w:val="20"/>
                </w:rPr>
                <w:t>Certification of David Shane, Chief Financial Officer, pursuant to Rule 13a-14(a) under the Securities Exchange Act of 1934, as amended.</w:t>
              </w:r>
            </w:hyperlink>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50930xex32d1.htm">
              <w:r>
                <w:rPr>
                  <w:rStyle w:val="InternetLink"/>
                  <w:rFonts w:ascii="Times New Roman;Times;serif" w:hAnsi="Times New Roman;Times;serif"/>
                  <w:b w:val="false"/>
                  <w:i w:val="false"/>
                  <w:caps w:val="false"/>
                  <w:smallCaps w:val="false"/>
                  <w:sz w:val="20"/>
                </w:rPr>
                <w:t>Certification of Craig Gould, Chief Executive Officer, pursuant to Rule 13a-14(b) under the Securities Exchange Act of 1934, as amended, and 18 U.S.C. § 1350.</w:t>
              </w:r>
            </w:hyperlink>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50930xex32d2.htm">
              <w:r>
                <w:rPr>
                  <w:rStyle w:val="InternetLink"/>
                  <w:rFonts w:ascii="Times New Roman;Times;serif" w:hAnsi="Times New Roman;Times;serif"/>
                  <w:b w:val="false"/>
                  <w:i w:val="false"/>
                  <w:caps w:val="false"/>
                  <w:smallCaps w:val="false"/>
                  <w:sz w:val="20"/>
                </w:rPr>
                <w:t>Certification of David Shane, Chief Financial Officer, pursuant to Rule 13a-14(b) under the Securities Exchange Act of 1934, as amended, and 18 U.S.C. § 1350.</w:t>
              </w:r>
            </w:hyperlink>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XBRL Taxonomy Extension Calculation Linkbase Document </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Labels Linkbase Document</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4"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r>
        <w:rPr>
          <w:rFonts w:ascii="Times New Roman;Times;serif" w:hAnsi="Times New Roman;Times;serif"/>
          <w:sz w:val="20"/>
        </w:rPr>
        <w:t>Management contract or compensatory plan or arrangement.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16" w:name="SIGNATURES_945741"/>
      <w:bookmarkStart w:id="1617" w:name="_cf28349d_892f_4aa1_b297_9cec2b6218cd"/>
      <w:bookmarkEnd w:id="1616"/>
      <w:bookmarkEnd w:id="1617"/>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accordance with the requirements of the Exchange Act, the registrant caused this report to be signed on its behalf by the undersigned, thereunto duly authorized.</w:t>
      </w:r>
    </w:p>
    <w:p>
      <w:pPr>
        <w:pStyle w:val="TextBody"/>
        <w:bidi w:val="0"/>
        <w:spacing w:before="0" w:after="240"/>
        <w:ind w:left="0" w:right="0" w:hanging="0"/>
        <w:jc w:val="center"/>
        <w:rPr/>
      </w:pPr>
      <w:r>
        <w:rPr/>
        <w:t>​</w:t>
      </w:r>
    </w:p>
    <w:tbl>
      <w:tblPr>
        <w:tblW w:w="6603" w:type="dxa"/>
        <w:jc w:val="left"/>
        <w:tblInd w:w="0" w:type="dxa"/>
        <w:tblLayout w:type="fixed"/>
        <w:tblCellMar>
          <w:top w:w="0" w:type="dxa"/>
          <w:left w:w="0" w:type="dxa"/>
          <w:bottom w:w="0" w:type="dxa"/>
          <w:right w:w="0" w:type="dxa"/>
        </w:tblCellMar>
      </w:tblPr>
      <w:tblGrid>
        <w:gridCol w:w="2206"/>
        <w:gridCol w:w="631"/>
        <w:gridCol w:w="3766"/>
      </w:tblGrid>
      <w:tr>
        <w:trPr/>
        <w:tc>
          <w:tcPr>
            <w:tcW w:w="2206" w:type="dxa"/>
            <w:tcBorders/>
            <w:vAlign w:val="center"/>
          </w:tcPr>
          <w:p>
            <w:pPr>
              <w:pStyle w:val="TableContents"/>
              <w:bidi w:val="0"/>
              <w:spacing w:before="0" w:after="0"/>
              <w:ind w:left="0" w:right="0" w:hanging="0"/>
              <w:jc w:val="left"/>
              <w:rPr/>
            </w:pPr>
            <w:r>
              <w:rPr/>
              <w:t>​</w:t>
            </w:r>
          </w:p>
        </w:tc>
        <w:tc>
          <w:tcPr>
            <w:tcW w:w="439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BINAH CAPITAL GROUP, INC.</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240"/>
        <w:ind w:left="0" w:right="0" w:hanging="0"/>
        <w:jc w:val="right"/>
        <w:rPr>
          <w:rFonts w:ascii="Times New Roman;Times;serif" w:hAnsi="Times New Roman;Times;serif"/>
          <w:b/>
          <w:sz w:val="20"/>
        </w:rPr>
      </w:pPr>
      <w:bookmarkStart w:id="1618" w:name="tmb-20250930xex31d1.htm"/>
      <w:bookmarkStart w:id="1619" w:name="kstmb20250930xex31d1"/>
      <w:bookmarkEnd w:id="1618"/>
      <w:bookmarkEnd w:id="1619"/>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Craig Gould, certify that:</w:t>
      </w:r>
    </w:p>
    <w:tbl>
      <w:tblPr>
        <w:tblW w:w="6790" w:type="dxa"/>
        <w:jc w:val="left"/>
        <w:tblInd w:w="0" w:type="dxa"/>
        <w:tblLayout w:type="fixed"/>
        <w:tblCellMar>
          <w:top w:w="0" w:type="dxa"/>
          <w:left w:w="0" w:type="dxa"/>
          <w:bottom w:w="0" w:type="dxa"/>
          <w:right w:w="0" w:type="dxa"/>
        </w:tblCellMar>
      </w:tblPr>
      <w:tblGrid>
        <w:gridCol w:w="170"/>
        <w:gridCol w:w="662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Binah Capital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pPr>
      <w:r>
        <w:rPr/>
        <w:t>​</w:t>
      </w:r>
    </w:p>
    <w:tbl>
      <w:tblPr>
        <w:tblW w:w="5088" w:type="dxa"/>
        <w:jc w:val="left"/>
        <w:tblInd w:w="0" w:type="dxa"/>
        <w:tblLayout w:type="fixed"/>
        <w:tblCellMar>
          <w:top w:w="0" w:type="dxa"/>
          <w:left w:w="0" w:type="dxa"/>
          <w:bottom w:w="0" w:type="dxa"/>
          <w:right w:w="0" w:type="dxa"/>
        </w:tblCellMar>
      </w:tblPr>
      <w:tblGrid>
        <w:gridCol w:w="2206"/>
        <w:gridCol w:w="406"/>
        <w:gridCol w:w="2476"/>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20" w:name="tmb-20250930xex31d2.htm"/>
      <w:bookmarkStart w:id="1621" w:name="kstmb20250930xex31d2"/>
      <w:bookmarkEnd w:id="1620"/>
      <w:bookmarkEnd w:id="1621"/>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David Shane, certify that:</w:t>
      </w:r>
    </w:p>
    <w:tbl>
      <w:tblPr>
        <w:tblW w:w="6790" w:type="dxa"/>
        <w:jc w:val="left"/>
        <w:tblInd w:w="0" w:type="dxa"/>
        <w:tblLayout w:type="fixed"/>
        <w:tblCellMar>
          <w:top w:w="0" w:type="dxa"/>
          <w:left w:w="0" w:type="dxa"/>
          <w:bottom w:w="0" w:type="dxa"/>
          <w:right w:w="0" w:type="dxa"/>
        </w:tblCellMar>
      </w:tblPr>
      <w:tblGrid>
        <w:gridCol w:w="170"/>
        <w:gridCol w:w="662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Binah Capital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pPr>
      <w:r>
        <w:rPr/>
        <w:t>​</w:t>
      </w:r>
    </w:p>
    <w:tbl>
      <w:tblPr>
        <w:tblW w:w="5358" w:type="dxa"/>
        <w:jc w:val="left"/>
        <w:tblInd w:w="0" w:type="dxa"/>
        <w:tblLayout w:type="fixed"/>
        <w:tblCellMar>
          <w:top w:w="0" w:type="dxa"/>
          <w:left w:w="0" w:type="dxa"/>
          <w:bottom w:w="0" w:type="dxa"/>
          <w:right w:w="0" w:type="dxa"/>
        </w:tblCellMar>
      </w:tblPr>
      <w:tblGrid>
        <w:gridCol w:w="2206"/>
        <w:gridCol w:w="406"/>
        <w:gridCol w:w="2746"/>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7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(Principal Financial Officer and </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22" w:name="tmb-20250930xex32d1.htm"/>
      <w:bookmarkStart w:id="1623" w:name="kstmb20250930xex32d1"/>
      <w:bookmarkEnd w:id="1622"/>
      <w:bookmarkEnd w:id="1623"/>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Binah Capital Group, Inc. (the “Company”) on Form 10-Q for the quarterly period ended September 30, 2025, as filed with the Securities and Exchange Commission on the date hereof (the “Report”), I, Craig Gould, Chief Executive Officer of the Company, certify, pursuant to 18 U.S.C. Section 1350, as adopted pursuant to Section 906 of the Sarbanes-Oxley Act of 2002, that, to my knowledge:</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3231" w:type="dxa"/>
        <w:jc w:val="left"/>
        <w:tblInd w:w="0" w:type="dxa"/>
        <w:tblLayout w:type="fixed"/>
        <w:tblCellMar>
          <w:top w:w="0" w:type="dxa"/>
          <w:left w:w="0" w:type="dxa"/>
          <w:bottom w:w="0" w:type="dxa"/>
          <w:right w:w="0" w:type="dxa"/>
        </w:tblCellMar>
      </w:tblPr>
      <w:tblGrid>
        <w:gridCol w:w="646"/>
        <w:gridCol w:w="2431"/>
        <w:gridCol w:w="154"/>
      </w:tblGrid>
      <w:tr>
        <w:trPr/>
        <w:tc>
          <w:tcPr>
            <w:tcW w:w="30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154" w:type="dxa"/>
            <w:tcBorders/>
            <w:vAlign w:val="center"/>
          </w:tcPr>
          <w:p>
            <w:pPr>
              <w:pStyle w:val="TableContents"/>
              <w:bidi w:val="0"/>
              <w:spacing w:before="0" w:after="0"/>
              <w:ind w:left="0" w:right="0" w:hanging="0"/>
              <w:jc w:val="left"/>
              <w:rPr/>
            </w:pPr>
            <w:r>
              <w:rPr/>
              <w:t>​</w:t>
            </w:r>
          </w:p>
        </w:tc>
      </w:tr>
      <w:tr>
        <w:trPr/>
        <w:tc>
          <w:tcPr>
            <w:tcW w:w="30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24" w:name="tmb-20250930xex32d2.htm"/>
      <w:bookmarkStart w:id="1625" w:name="kstmb20250930xex32d2"/>
      <w:bookmarkEnd w:id="1624"/>
      <w:bookmarkEnd w:id="1625"/>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Binah Capital Group, Inc. (the “Company”) on Form 10-Q for the quarterly period ended September 30, 2025, as filed with the Securities and Exchange Commission on the date hereof (the “Report”), I, David Shane, Chief Financial Officer of the Company, certify, pursuant to 18 U.S.C. Section 1350, as adopted pursuant to Section 906 of the Sarbanes-Oxley Act of 2002, that, to my knowledge:</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901" w:type="dxa"/>
        <w:jc w:val="left"/>
        <w:tblInd w:w="0" w:type="dxa"/>
        <w:tblLayout w:type="fixed"/>
        <w:tblCellMar>
          <w:top w:w="0" w:type="dxa"/>
          <w:left w:w="0" w:type="dxa"/>
          <w:bottom w:w="0" w:type="dxa"/>
          <w:right w:w="0" w:type="dxa"/>
        </w:tblCellMar>
      </w:tblPr>
      <w:tblGrid>
        <w:gridCol w:w="646"/>
        <w:gridCol w:w="5101"/>
        <w:gridCol w:w="154"/>
      </w:tblGrid>
      <w:tr>
        <w:trPr/>
        <w:tc>
          <w:tcPr>
            <w:tcW w:w="57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154" w:type="dxa"/>
            <w:tcBorders/>
            <w:vAlign w:val="center"/>
          </w:tcPr>
          <w:p>
            <w:pPr>
              <w:pStyle w:val="TableContents"/>
              <w:bidi w:val="0"/>
              <w:spacing w:before="0" w:after="0"/>
              <w:ind w:left="0" w:right="0" w:hanging="0"/>
              <w:jc w:val="left"/>
              <w:rPr/>
            </w:pPr>
            <w:r>
              <w:rPr/>
              <w:t>​</w:t>
            </w:r>
          </w:p>
        </w:tc>
      </w:tr>
      <w:tr>
        <w:trPr/>
        <w:tc>
          <w:tcPr>
            <w:tcW w:w="574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74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1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22912</Words>
  <Characters>125020</Characters>
  <CharactersWithSpaces>150609</CharactersWithSpaces>
  <Paragraphs>7081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