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51231x10k.htm"/>
        <w:bookmarkStart w:id="1" w:name="kstmb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bookmarkStart w:id="2" w:name="_91265119_8565_431e_861c_39494ea9057b"/>
      <w:bookmarkEnd w:id="2"/>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UNITED STATES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AND EXCHANGE COMMISSION</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FORM 10-K</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(Mark One)</w:t>
      </w:r>
    </w:p>
    <w:p>
      <w:pPr>
        <w:pStyle w:val="TextBody"/>
        <w:bidi w:val="0"/>
        <w:spacing w:before="0" w:after="80"/>
        <w:ind w:left="0" w:right="0" w:hanging="0"/>
        <w:jc w:val="center"/>
        <w:rPr/>
      </w:pPr>
      <w:r>
        <w:rPr/>
        <w:t xml:space="preserve">☒ </w:t>
      </w:r>
      <w:r>
        <w:rPr>
          <w:rFonts w:ascii="Times New Roman;Times;serif" w:hAnsi="Times New Roman;Times;serif"/>
          <w:b/>
          <w:sz w:val="14"/>
        </w:rPr>
        <w:t>ANNUAL REPORT PURSUANT TO SECTION 13 OR 15(d) OF THE SECURITIES EXCHANGE ACT OF 1934</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For the fiscal year ended December 31, 2025</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OR</w:t>
      </w:r>
    </w:p>
    <w:p>
      <w:pPr>
        <w:pStyle w:val="TextBody"/>
        <w:bidi w:val="0"/>
        <w:spacing w:before="0" w:after="80"/>
        <w:ind w:left="0" w:right="0" w:hanging="0"/>
        <w:jc w:val="center"/>
        <w:rPr/>
      </w:pPr>
      <w:r>
        <w:rPr/>
        <w:t xml:space="preserve">☐ </w:t>
      </w:r>
      <w:r>
        <w:rPr>
          <w:rFonts w:ascii="Times New Roman;Times;serif" w:hAnsi="Times New Roman;Times;serif"/>
          <w:b/>
          <w:sz w:val="14"/>
        </w:rPr>
        <w:t>TRANSITION REPORT PURSUANT TO SECTION 13 OR 15(d) OF THE SECURITIES EXCHANGE ACT OF 1934</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For the transition period from _________ to _________</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Commission File Number: 001-41991</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Binah Capital Group, Inc.</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Normal"/>
        <w:bidi w:val="0"/>
        <w:spacing w:before="0" w:after="0"/>
        <w:jc w:val="left"/>
        <w:rPr>
          <w:sz w:val="4"/>
          <w:szCs w:val="4"/>
        </w:rPr>
      </w:pPr>
      <w:r>
        <w:rPr>
          <w:sz w:val="4"/>
          <w:szCs w:val="4"/>
        </w:rPr>
      </w:r>
      <w:bookmarkStart w:id="3" w:name="Tc_93jAUQAltk-D1n2TrQ1J8Q_1_2"/>
      <w:bookmarkStart w:id="4" w:name="Tc_NAcPO1MsoES8rMixQfx-KQ_1_0"/>
      <w:bookmarkStart w:id="5" w:name="_d58f5177_f80a_48b3_99db_caef7eebd514"/>
      <w:bookmarkStart w:id="6" w:name="Tc_93jAUQAltk-D1n2TrQ1J8Q_1_2"/>
      <w:bookmarkStart w:id="7" w:name="Tc_NAcPO1MsoES8rMixQfx-KQ_1_0"/>
      <w:bookmarkStart w:id="8" w:name="_d58f5177_f80a_48b3_99db_caef7eebd514"/>
      <w:bookmarkEnd w:id="6"/>
      <w:bookmarkEnd w:id="7"/>
      <w:bookmarkEnd w:id="8"/>
    </w:p>
    <w:tbl>
      <w:tblPr>
        <w:tblW w:w="3238" w:type="dxa"/>
        <w:jc w:val="left"/>
        <w:tblInd w:w="0" w:type="dxa"/>
        <w:tblLayout w:type="fixed"/>
        <w:tblCellMar>
          <w:top w:w="0" w:type="dxa"/>
          <w:left w:w="0" w:type="dxa"/>
          <w:bottom w:w="28" w:type="dxa"/>
          <w:right w:w="0" w:type="dxa"/>
        </w:tblCellMar>
      </w:tblPr>
      <w:tblGrid>
        <w:gridCol w:w="1876"/>
        <w:gridCol w:w="146"/>
        <w:gridCol w:w="1216"/>
      </w:tblGrid>
      <w:tr>
        <w:trPr/>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46" w:type="dxa"/>
            <w:tcBorders>
              <w:bottom w:val="single" w:sz="2" w:space="0" w:color="000000"/>
            </w:tcBorders>
            <w:vAlign w:val="center"/>
          </w:tcPr>
          <w:p>
            <w:pPr>
              <w:pStyle w:val="TableContents"/>
              <w:bidi w:val="0"/>
              <w:spacing w:before="0" w:after="0"/>
              <w:ind w:left="0" w:right="0" w:hanging="0"/>
              <w:jc w:val="center"/>
              <w:rPr/>
            </w:pPr>
            <w:r>
              <w:rPr/>
              <w:t> </w:t>
            </w:r>
          </w:p>
        </w:tc>
        <w:tc>
          <w:tcPr>
            <w:tcW w:w="12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88-3276689</w:t>
            </w:r>
          </w:p>
        </w:tc>
      </w:tr>
      <w:tr>
        <w:trPr/>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br/>
              <w:t>incorporation or organization)</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12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v4XwOp6_NU6YBdm1Fwb0Ng_2_2"/>
      <w:bookmarkStart w:id="10" w:name="Tc_DOy3Ae8IQUKC_IxKKd7VXQ_2_0"/>
      <w:bookmarkStart w:id="11" w:name="Tc_jZyGmFYLaEKTGB_DJ-BZoQ_1_0"/>
      <w:bookmarkStart w:id="12" w:name="_5e6b64a3_c536_4fac_9da4_d3418aea2a8d"/>
      <w:bookmarkStart w:id="13" w:name="Tc_v4XwOp6_NU6YBdm1Fwb0Ng_2_2"/>
      <w:bookmarkStart w:id="14" w:name="Tc_DOy3Ae8IQUKC_IxKKd7VXQ_2_0"/>
      <w:bookmarkStart w:id="15" w:name="Tc_jZyGmFYLaEKTGB_DJ-BZoQ_1_0"/>
      <w:bookmarkStart w:id="16" w:name="_5e6b64a3_c536_4fac_9da4_d3418aea2a8d"/>
      <w:bookmarkEnd w:id="13"/>
      <w:bookmarkEnd w:id="14"/>
      <w:bookmarkEnd w:id="15"/>
      <w:bookmarkEnd w:id="16"/>
    </w:p>
    <w:tbl>
      <w:tblPr>
        <w:tblW w:w="3328" w:type="dxa"/>
        <w:jc w:val="left"/>
        <w:tblInd w:w="0" w:type="dxa"/>
        <w:tblLayout w:type="fixed"/>
        <w:tblCellMar>
          <w:top w:w="0" w:type="dxa"/>
          <w:left w:w="0" w:type="dxa"/>
          <w:bottom w:w="0" w:type="dxa"/>
          <w:right w:w="0" w:type="dxa"/>
        </w:tblCellMar>
      </w:tblPr>
      <w:tblGrid>
        <w:gridCol w:w="2386"/>
        <w:gridCol w:w="146"/>
        <w:gridCol w:w="796"/>
      </w:tblGrid>
      <w:tr>
        <w:trPr/>
        <w:tc>
          <w:tcPr>
            <w:tcW w:w="238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80 State Street, Albany, NY</w:t>
            </w:r>
          </w:p>
        </w:tc>
        <w:tc>
          <w:tcPr>
            <w:tcW w:w="1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12207</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146" w:type="dxa"/>
            <w:tcBorders/>
            <w:vAlign w:val="center"/>
          </w:tcPr>
          <w:p>
            <w:pPr>
              <w:pStyle w:val="TableContents"/>
              <w:bidi w:val="0"/>
              <w:spacing w:before="0" w:after="0"/>
              <w:ind w:left="0" w:right="0" w:hanging="0"/>
              <w:jc w:val="center"/>
              <w:rPr/>
            </w:pPr>
            <w:r>
              <w:rPr/>
              <w:t> </w:t>
            </w:r>
          </w:p>
        </w:tc>
        <w:tc>
          <w:tcPr>
            <w:tcW w:w="7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(Zip Code) </w:t>
            </w:r>
          </w:p>
        </w:tc>
      </w:tr>
    </w:tbl>
    <w:p>
      <w:pPr>
        <w:pStyle w:val="TextBody"/>
        <w:bidi w:val="0"/>
        <w:spacing w:before="0" w:after="240"/>
        <w:ind w:left="0" w:right="0" w:hanging="0"/>
        <w:jc w:val="both"/>
        <w:rPr/>
      </w:pPr>
      <w:r>
        <w:rPr/>
        <w:t>​</w:t>
      </w:r>
    </w:p>
    <w:tbl>
      <w:tblPr>
        <w:tblW w:w="3211" w:type="dxa"/>
        <w:jc w:val="left"/>
        <w:tblInd w:w="0" w:type="dxa"/>
        <w:tblLayout w:type="fixed"/>
        <w:tblCellMar>
          <w:top w:w="0" w:type="dxa"/>
          <w:left w:w="0" w:type="dxa"/>
          <w:bottom w:w="0" w:type="dxa"/>
          <w:right w:w="0" w:type="dxa"/>
        </w:tblCellMar>
      </w:tblPr>
      <w:tblGrid>
        <w:gridCol w:w="321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(212) 404-7002</w:t>
            </w:r>
          </w:p>
        </w:tc>
      </w:tr>
      <w:tr>
        <w:trPr/>
        <w:tc>
          <w:tcPr>
            <w:tcW w:w="32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c2KGPiB_-kCQTyUK0DyOfA_0_4"/>
      <w:bookmarkStart w:id="18" w:name="Tc_Rw4IxNjN5EGP2SNAJyS_-w_0_2"/>
      <w:bookmarkStart w:id="19" w:name="Tc_5OZ9tEy81Uiq6XF6eGRmjw_0_0"/>
      <w:bookmarkStart w:id="20" w:name="_22928bdd_8635_4840_bba7_924330f1bc70"/>
      <w:bookmarkStart w:id="21" w:name="Tc_c2KGPiB_-kCQTyUK0DyOfA_0_4"/>
      <w:bookmarkStart w:id="22" w:name="Tc_Rw4IxNjN5EGP2SNAJyS_-w_0_2"/>
      <w:bookmarkStart w:id="23" w:name="Tc_5OZ9tEy81Uiq6XF6eGRmjw_0_0"/>
      <w:bookmarkStart w:id="24" w:name="_22928bdd_8635_4840_bba7_924330f1bc70"/>
      <w:bookmarkEnd w:id="21"/>
      <w:bookmarkEnd w:id="22"/>
      <w:bookmarkEnd w:id="23"/>
      <w:bookmarkEnd w:id="24"/>
    </w:p>
    <w:tbl>
      <w:tblPr>
        <w:tblW w:w="7480" w:type="dxa"/>
        <w:jc w:val="left"/>
        <w:tblInd w:w="0" w:type="dxa"/>
        <w:tblLayout w:type="fixed"/>
        <w:tblCellMar>
          <w:top w:w="0" w:type="dxa"/>
          <w:left w:w="0" w:type="dxa"/>
          <w:bottom w:w="28" w:type="dxa"/>
          <w:right w:w="0" w:type="dxa"/>
        </w:tblCellMar>
      </w:tblPr>
      <w:tblGrid>
        <w:gridCol w:w="3256"/>
        <w:gridCol w:w="146"/>
        <w:gridCol w:w="1231"/>
        <w:gridCol w:w="146"/>
        <w:gridCol w:w="2701"/>
      </w:tblGrid>
      <w:tr>
        <w:trPr/>
        <w:tc>
          <w:tcPr>
            <w:tcW w:w="32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146" w:type="dxa"/>
            <w:tcBorders>
              <w:bottom w:val="single" w:sz="2" w:space="0" w:color="000000"/>
            </w:tcBorders>
            <w:vAlign w:val="center"/>
          </w:tcPr>
          <w:p>
            <w:pPr>
              <w:pStyle w:val="TableContents"/>
              <w:bidi w:val="0"/>
              <w:spacing w:before="0" w:after="0"/>
              <w:ind w:left="0" w:right="0" w:hanging="0"/>
              <w:jc w:val="center"/>
              <w:rPr/>
            </w:pPr>
            <w:r>
              <w:rPr/>
              <w:t> </w:t>
            </w:r>
          </w:p>
        </w:tc>
        <w:tc>
          <w:tcPr>
            <w:tcW w:w="12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146" w:type="dxa"/>
            <w:tcBorders>
              <w:bottom w:val="single" w:sz="2" w:space="0" w:color="000000"/>
            </w:tcBorders>
            <w:vAlign w:val="center"/>
          </w:tcPr>
          <w:p>
            <w:pPr>
              <w:pStyle w:val="TableContents"/>
              <w:bidi w:val="0"/>
              <w:spacing w:before="0" w:after="0"/>
              <w:ind w:left="0" w:right="0" w:hanging="0"/>
              <w:jc w:val="center"/>
              <w:rPr/>
            </w:pPr>
            <w:r>
              <w:rPr/>
              <w:t> </w:t>
            </w:r>
          </w:p>
        </w:tc>
        <w:tc>
          <w:tcPr>
            <w:tcW w:w="27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325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Common Stock, par value $0.0001</w:t>
            </w:r>
            <w:r>
              <w:rPr>
                <w:rFonts w:ascii="Times New Roman;Times;serif" w:hAnsi="Times New Roman;Times;serif"/>
                <w:sz w:val="14"/>
              </w:rPr>
              <w:br/>
            </w:r>
            <w:r>
              <w:rPr>
                <w:rFonts w:ascii="Times New Roman;Times;serif" w:hAnsi="Times New Roman;Times;serif"/>
                <w:b/>
                <w:sz w:val="14"/>
              </w:rPr>
              <w:t>per share</w:t>
            </w:r>
          </w:p>
        </w:tc>
        <w:tc>
          <w:tcPr>
            <w:tcW w:w="146" w:type="dxa"/>
            <w:tcBorders/>
            <w:shd w:fill="CCEEFF" w:val="clear"/>
            <w:tcMar>
              <w:bottom w:w="0" w:type="dxa"/>
            </w:tcMar>
            <w:vAlign w:val="center"/>
          </w:tcPr>
          <w:p>
            <w:pPr>
              <w:pStyle w:val="TableContents"/>
              <w:bidi w:val="0"/>
              <w:spacing w:before="0" w:after="0"/>
              <w:ind w:left="0" w:right="0" w:hanging="0"/>
              <w:jc w:val="center"/>
              <w:rPr/>
            </w:pPr>
            <w:r>
              <w:rPr/>
              <w:t> </w:t>
            </w:r>
          </w:p>
        </w:tc>
        <w:tc>
          <w:tcPr>
            <w:tcW w:w="123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BCG</w:t>
            </w:r>
          </w:p>
        </w:tc>
        <w:tc>
          <w:tcPr>
            <w:tcW w:w="146" w:type="dxa"/>
            <w:tcBorders/>
            <w:shd w:fill="CCEEFF" w:val="clear"/>
            <w:tcMar>
              <w:bottom w:w="0" w:type="dxa"/>
            </w:tcMar>
            <w:vAlign w:val="center"/>
          </w:tcPr>
          <w:p>
            <w:pPr>
              <w:pStyle w:val="TableContents"/>
              <w:bidi w:val="0"/>
              <w:spacing w:before="0" w:after="0"/>
              <w:ind w:left="0" w:right="0" w:hanging="0"/>
              <w:jc w:val="center"/>
              <w:rPr/>
            </w:pPr>
            <w:r>
              <w:rPr/>
              <w:t> </w:t>
            </w:r>
          </w:p>
        </w:tc>
        <w:tc>
          <w:tcPr>
            <w:tcW w:w="270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 Nasdaq Stock Market LLC</w:t>
            </w:r>
          </w:p>
        </w:tc>
      </w:tr>
      <w:tr>
        <w:trPr/>
        <w:tc>
          <w:tcPr>
            <w:tcW w:w="3256"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Warrants, each exercisable for one share of Common</w:t>
              <w:br/>
              <w:t>Stock at an exercise price of $11.50 per share</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1231"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BCGWW</w:t>
            </w:r>
          </w:p>
        </w:tc>
        <w:tc>
          <w:tcPr>
            <w:tcW w:w="146" w:type="dxa"/>
            <w:tcBorders/>
            <w:tcMar>
              <w:bottom w:w="0" w:type="dxa"/>
            </w:tcMar>
            <w:vAlign w:val="center"/>
          </w:tcPr>
          <w:p>
            <w:pPr>
              <w:pStyle w:val="TableContents"/>
              <w:bidi w:val="0"/>
              <w:spacing w:before="0" w:after="0"/>
              <w:ind w:left="0" w:right="0" w:hanging="0"/>
              <w:jc w:val="center"/>
              <w:rPr/>
            </w:pPr>
            <w:r>
              <w:rPr/>
              <w:t> </w:t>
            </w:r>
          </w:p>
        </w:tc>
        <w:tc>
          <w:tcPr>
            <w:tcW w:w="2701"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 Nasdaq Stock Market LLC</w:t>
            </w:r>
          </w:p>
        </w:tc>
      </w:tr>
    </w:tbl>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sz w:val="14"/>
        </w:rPr>
      </w:pPr>
      <w:r>
        <w:rPr>
          <w:rFonts w:ascii="Times New Roman;Times;serif" w:hAnsi="Times New Roman;Times;serif"/>
          <w:sz w:val="14"/>
        </w:rPr>
        <w:t>Securities registered pursuant to section 12(g) of the Act:</w:t>
      </w:r>
    </w:p>
    <w:p>
      <w:pPr>
        <w:pStyle w:val="TextBody"/>
        <w:bidi w:val="0"/>
        <w:spacing w:before="0" w:after="240"/>
        <w:ind w:left="0" w:right="0" w:hanging="0"/>
        <w:jc w:val="both"/>
        <w:rPr/>
      </w:pPr>
      <w:r>
        <w:rPr/>
        <w:t>​</w:t>
      </w:r>
    </w:p>
    <w:tbl>
      <w:tblPr>
        <w:tblW w:w="1021" w:type="dxa"/>
        <w:jc w:val="left"/>
        <w:tblInd w:w="0" w:type="dxa"/>
        <w:tblLayout w:type="fixed"/>
        <w:tblCellMar>
          <w:top w:w="0" w:type="dxa"/>
          <w:left w:w="0" w:type="dxa"/>
          <w:bottom w:w="0" w:type="dxa"/>
          <w:right w:w="0" w:type="dxa"/>
        </w:tblCellMar>
      </w:tblPr>
      <w:tblGrid>
        <w:gridCol w:w="1021"/>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None</w:t>
            </w:r>
          </w:p>
        </w:tc>
      </w:tr>
      <w:tr>
        <w:trPr/>
        <w:tc>
          <w:tcPr>
            <w:tcW w:w="10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(Title of Class)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1" w:type="dxa"/>
        <w:jc w:val="left"/>
        <w:tblInd w:w="0" w:type="dxa"/>
        <w:tblLayout w:type="fixed"/>
        <w:tblCellMar>
          <w:top w:w="0" w:type="dxa"/>
          <w:left w:w="0" w:type="dxa"/>
          <w:bottom w:w="0" w:type="dxa"/>
          <w:right w:w="0" w:type="dxa"/>
        </w:tblCellMar>
      </w:tblPr>
      <w:tblGrid>
        <w:gridCol w:w="1021"/>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p>
        </w:tc>
      </w:tr>
      <w:tr>
        <w:trPr/>
        <w:tc>
          <w:tcPr>
            <w:tcW w:w="10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0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(Title of Class)</w:t>
            </w:r>
          </w:p>
        </w:tc>
      </w:tr>
    </w:tbl>
    <w:p>
      <w:pPr>
        <w:pStyle w:val="TextBody"/>
        <w:bidi w:val="0"/>
        <w:spacing w:before="0" w:after="0"/>
        <w:ind w:left="0" w:right="0" w:hanging="0"/>
        <w:jc w:val="left"/>
        <w:rPr/>
      </w:pPr>
      <w:r>
        <w:rPr/>
        <w:t>​</w:t>
      </w:r>
    </w:p>
    <w:p>
      <w:pPr>
        <w:pStyle w:val="TextBody"/>
        <w:bidi w:val="0"/>
        <w:spacing w:before="0" w:after="60"/>
        <w:ind w:left="0" w:right="0" w:firstLine="720"/>
        <w:jc w:val="both"/>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60"/>
        <w:ind w:left="0" w:right="0" w:firstLine="720"/>
        <w:jc w:val="both"/>
        <w:rPr>
          <w:rFonts w:ascii="Times New Roman;Times;serif" w:hAnsi="Times New Roman;Times;serif"/>
          <w:sz w:val="20"/>
        </w:rPr>
      </w:pPr>
      <w:r>
        <w:rPr>
          <w:rFonts w:ascii="Times New Roman;Times;serif" w:hAnsi="Times New Roman;Times;serif"/>
          <w:sz w:val="14"/>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60"/>
        <w:ind w:left="0" w:right="0" w:firstLine="720"/>
        <w:jc w:val="both"/>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60"/>
        <w:ind w:left="0" w:right="0" w:firstLine="720"/>
        <w:jc w:val="both"/>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3527" w:type="dxa"/>
        <w:jc w:val="left"/>
        <w:tblInd w:w="0" w:type="dxa"/>
        <w:tblLayout w:type="fixed"/>
        <w:tblCellMar>
          <w:top w:w="0" w:type="dxa"/>
          <w:left w:w="0" w:type="dxa"/>
          <w:bottom w:w="0" w:type="dxa"/>
          <w:right w:w="0" w:type="dxa"/>
        </w:tblCellMar>
      </w:tblPr>
      <w:tblGrid>
        <w:gridCol w:w="1576"/>
        <w:gridCol w:w="195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951"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Non-accelerated filer</w:t>
            </w:r>
            <w:r>
              <w:rPr>
                <w:rFonts w:ascii="Times New Roman;Times;serif" w:hAnsi="Times New Roman;Times;serif"/>
                <w:sz w:val="20"/>
              </w:rPr>
              <w:t xml:space="preserve">  ☒</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Smaller reporting company  </w:t>
            </w:r>
            <w:r>
              <w:rPr>
                <w:rFonts w:ascii="Times New Roman;Times;serif" w:hAnsi="Times New Roman;Times;serif"/>
                <w:sz w:val="20"/>
              </w:rPr>
              <w:t>☒</w:t>
            </w:r>
          </w:p>
        </w:tc>
      </w:tr>
      <w:tr>
        <w:trPr/>
        <w:tc>
          <w:tcPr>
            <w:tcW w:w="1576" w:type="dxa"/>
            <w:tcBorders/>
            <w:vAlign w:val="center"/>
          </w:tcPr>
          <w:p>
            <w:pPr>
              <w:pStyle w:val="TableContents"/>
              <w:bidi w:val="0"/>
              <w:spacing w:before="0" w:after="0"/>
              <w:ind w:left="0" w:right="0" w:hanging="0"/>
              <w:jc w:val="both"/>
              <w:rPr/>
            </w:pPr>
            <w:r>
              <w:rPr/>
              <w:t> </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60"/>
        <w:ind w:left="0" w:right="0" w:firstLine="72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firstLine="72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60"/>
        <w:ind w:left="0" w:right="0" w:firstLine="720"/>
        <w:jc w:val="both"/>
        <w:rPr>
          <w:rFonts w:ascii="Times New Roman;Times;serif" w:hAnsi="Times New Roman;Times;serif"/>
          <w:sz w:val="20"/>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60"/>
        <w:ind w:left="0" w:right="0" w:firstLine="72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60"/>
        <w:ind w:left="0" w:right="0" w:firstLine="720"/>
        <w:jc w:val="both"/>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60"/>
        <w:ind w:left="0" w:right="0" w:firstLine="720"/>
        <w:jc w:val="both"/>
        <w:rPr>
          <w:rFonts w:ascii="Times New Roman;Times;serif" w:hAnsi="Times New Roman;Times;serif"/>
          <w:sz w:val="14"/>
        </w:rPr>
      </w:pPr>
      <w:r>
        <w:rPr>
          <w:rFonts w:ascii="Times New Roman;Times;serif" w:hAnsi="Times New Roman;Times;serif"/>
          <w:sz w:val="14"/>
        </w:rPr>
        <w:t xml:space="preserve">As of June 30, 2025, the aggregate market value of the registrant’s common stock held by non-affiliates of the registrant was approximately $34.2 million (based on the closing price of the registrant’s common stock ($2.06) on that date as reported on the Nasdaq Stock Market LLC). </w:t>
      </w:r>
    </w:p>
    <w:p>
      <w:pPr>
        <w:pStyle w:val="TextBody"/>
        <w:bidi w:val="0"/>
        <w:spacing w:before="0" w:after="60"/>
        <w:ind w:left="0" w:right="0" w:firstLine="720"/>
        <w:jc w:val="both"/>
        <w:rPr>
          <w:rFonts w:ascii="Times New Roman;Times;serif" w:hAnsi="Times New Roman;Times;serif"/>
          <w:sz w:val="14"/>
        </w:rPr>
      </w:pPr>
      <w:r>
        <w:rPr>
          <w:rFonts w:ascii="Times New Roman;Times;serif" w:hAnsi="Times New Roman;Times;serif"/>
          <w:sz w:val="14"/>
        </w:rPr>
        <w:t>On March 31, 2026, there were 16,716,000 shares of common stock, $0.0001 par value per share (“common stock”), issued and outstanding.</w:t>
      </w:r>
    </w:p>
    <w:p>
      <w:pPr>
        <w:pStyle w:val="TextBody"/>
        <w:bidi w:val="0"/>
        <w:spacing w:before="0" w:after="0"/>
        <w:ind w:left="0" w:right="0" w:firstLine="720"/>
        <w:jc w:val="center"/>
        <w:rPr>
          <w:rFonts w:ascii="Times New Roman;Times;serif" w:hAnsi="Times New Roman;Times;serif"/>
          <w:b/>
          <w:sz w:val="14"/>
        </w:rPr>
      </w:pPr>
      <w:r>
        <w:rPr>
          <w:rFonts w:ascii="Times New Roman;Times;serif" w:hAnsi="Times New Roman;Times;serif"/>
          <w:b/>
          <w:sz w:val="14"/>
        </w:rPr>
        <w:t>DOCUMENTS INCORPORATED BY REFERENCE</w:t>
      </w:r>
    </w:p>
    <w:tbl>
      <w:tblPr>
        <w:tblW w:w="10205" w:type="dxa"/>
        <w:jc w:val="left"/>
        <w:tblInd w:w="0" w:type="dxa"/>
        <w:tblLayout w:type="fixed"/>
        <w:tblCellMar>
          <w:top w:w="0" w:type="dxa"/>
          <w:left w:w="0" w:type="dxa"/>
          <w:bottom w:w="0" w:type="dxa"/>
          <w:right w:w="0" w:type="dxa"/>
        </w:tblCellMar>
      </w:tblPr>
      <w:tblGrid>
        <w:gridCol w:w="8834"/>
        <w:gridCol w:w="346"/>
        <w:gridCol w:w="1025"/>
      </w:tblGrid>
      <w:tr>
        <w:trPr/>
        <w:tc>
          <w:tcPr>
            <w:tcW w:w="8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609590" cy="29210"/>
                      <wp:effectExtent l="0" t="0" r="0" b="0"/>
                      <wp:wrapNone/>
                      <wp:docPr id="1" name="Frame1"/>
                      <a:graphic xmlns:a="http://schemas.openxmlformats.org/drawingml/2006/main">
                        <a:graphicData uri="http://schemas.microsoft.com/office/word/2010/wordprocessingShape">
                          <wps:wsp>
                            <wps:cNvSpPr txBox="1"/>
                            <wps:spPr>
                              <a:xfrm>
                                <a:off x="0" y="0"/>
                                <a:ext cx="5609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50875" cy="29210"/>
                      <wp:effectExtent l="0" t="0" r="0" b="0"/>
                      <wp:wrapNone/>
                      <wp:docPr id="2" name="Frame2"/>
                      <a:graphic xmlns:a="http://schemas.openxmlformats.org/drawingml/2006/main">
                        <a:graphicData uri="http://schemas.microsoft.com/office/word/2010/wordprocessingShape">
                          <wps:wsp>
                            <wps:cNvSpPr txBox="1"/>
                            <wps:spPr>
                              <a:xfrm>
                                <a:off x="0" y="0"/>
                                <a:ext cx="6508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834"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b/>
                <w:sz w:val="14"/>
              </w:rPr>
            </w:pPr>
            <w:r>
              <w:rPr>
                <w:rFonts w:ascii="Times New Roman;Times;serif" w:hAnsi="Times New Roman;Times;serif"/>
                <w:b/>
                <w:sz w:val="14"/>
              </w:rPr>
              <w:t>DOCUMENT</w:t>
            </w:r>
          </w:p>
        </w:tc>
        <w:tc>
          <w:tcPr>
            <w:tcW w:w="346" w:type="dxa"/>
            <w:tcBorders/>
            <w:vAlign w:val="center"/>
          </w:tcPr>
          <w:p>
            <w:pPr>
              <w:pStyle w:val="TableContents"/>
              <w:bidi w:val="0"/>
              <w:spacing w:lineRule="auto" w:line="328" w:before="0" w:after="0"/>
              <w:ind w:left="0" w:right="0" w:hanging="0"/>
              <w:jc w:val="center"/>
              <w:rPr/>
            </w:pPr>
            <w:r>
              <w:rPr/>
              <w:t>  ​ ​ ​</w:t>
            </w:r>
          </w:p>
        </w:tc>
        <w:tc>
          <w:tcPr>
            <w:tcW w:w="1025"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PART OF FORM 10-K</w:t>
            </w:r>
          </w:p>
        </w:tc>
      </w:tr>
      <w:tr>
        <w:trPr/>
        <w:tc>
          <w:tcPr>
            <w:tcW w:w="8834" w:type="dxa"/>
            <w:tcBorders>
              <w:top w:val="single" w:sz="2" w:space="0" w:color="000000"/>
            </w:tcBorders>
            <w:tcMar>
              <w:top w:w="28" w:type="dxa"/>
            </w:tcMar>
            <w:vAlign w:val="center"/>
          </w:tcPr>
          <w:p>
            <w:pPr>
              <w:pStyle w:val="TableContents"/>
              <w:bidi w:val="0"/>
              <w:spacing w:lineRule="auto" w:line="328" w:before="0" w:after="0"/>
              <w:ind w:left="0" w:right="0" w:hanging="0"/>
              <w:jc w:val="left"/>
              <w:rPr/>
            </w:pPr>
            <w:r>
              <w:rPr/>
              <w:t>  ​ ​ ​ ​ </w:t>
            </w:r>
          </w:p>
          <w:p>
            <w:pPr>
              <w:pStyle w:val="TableContents"/>
              <w:bidi w:val="0"/>
              <w:spacing w:lineRule="auto" w:line="328" w:before="0" w:after="0"/>
              <w:ind w:left="0" w:right="0" w:hanging="0"/>
              <w:jc w:val="left"/>
              <w:rPr>
                <w:rFonts w:ascii="Times New Roman;Times;serif" w:hAnsi="Times New Roman;Times;serif"/>
                <w:sz w:val="14"/>
              </w:rPr>
            </w:pPr>
            <w:r>
              <w:rPr>
                <w:rFonts w:ascii="Times New Roman;Times;serif" w:hAnsi="Times New Roman;Times;serif"/>
                <w:sz w:val="14"/>
              </w:rPr>
              <w:t>Selected Portions of Definitive Proxy Statement for the 2026 Annual Meeting of Stockholders (the “Proxy Statement”), which will be filed by the registrant on or prior to 120 days following the end of the registrant’s year ended December 31, 2025, pursuant to Regulation 14A.</w:t>
            </w:r>
          </w:p>
          <w:p>
            <w:pPr>
              <w:pStyle w:val="TableContents"/>
              <w:bidi w:val="0"/>
              <w:spacing w:lineRule="auto" w:line="328" w:before="0" w:after="0"/>
              <w:ind w:left="0" w:right="0" w:hanging="0"/>
              <w:jc w:val="left"/>
              <w:rPr/>
            </w:pPr>
            <w:r>
              <w:rPr/>
              <w:t>  ​ ​ ​  ​ ​ ​</w:t>
            </w:r>
          </w:p>
        </w:tc>
        <w:tc>
          <w:tcPr>
            <w:tcW w:w="346" w:type="dxa"/>
            <w:tcBorders/>
            <w:vAlign w:val="center"/>
          </w:tcPr>
          <w:p>
            <w:pPr>
              <w:pStyle w:val="TableContents"/>
              <w:bidi w:val="0"/>
              <w:spacing w:lineRule="auto" w:line="328" w:before="0" w:after="0"/>
              <w:ind w:left="0" w:right="0" w:hanging="0"/>
              <w:jc w:val="center"/>
              <w:rPr/>
            </w:pPr>
            <w:r>
              <w:rPr/>
              <w:t>​</w:t>
            </w:r>
          </w:p>
        </w:tc>
        <w:tc>
          <w:tcPr>
            <w:tcW w:w="1025" w:type="dxa"/>
            <w:tcBorders>
              <w:top w:val="single" w:sz="2" w:space="0" w:color="000000"/>
            </w:tcBorders>
            <w:tcMar>
              <w:top w:w="28" w:type="dxa"/>
            </w:tcMar>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III</w:t>
            </w:r>
          </w:p>
        </w:tc>
      </w:tr>
    </w:tbl>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_6eb2292b_7610_497f_8893_56bff7eeff5f"/>
      <w:bookmarkStart w:id="26" w:name="TOC"/>
      <w:bookmarkEnd w:id="25"/>
      <w:bookmarkEnd w:id="2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1"/>
        <w:gridCol w:w="8882"/>
        <w:gridCol w:w="362"/>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8882" w:type="dxa"/>
            <w:tcBorders/>
            <w:vAlign w:val="center"/>
          </w:tcPr>
          <w:p>
            <w:pPr>
              <w:pStyle w:val="TableContents"/>
              <w:bidi w:val="0"/>
              <w:spacing w:before="0" w:after="283"/>
              <w:ind w:left="0" w:right="0" w:hanging="0"/>
              <w:jc w:val="left"/>
              <w:rPr>
                <w:sz w:val="4"/>
                <w:szCs w:val="4"/>
              </w:rPr>
            </w:pPr>
            <w:r>
              <w:rPr>
                <w:sz w:val="4"/>
                <w:szCs w:val="4"/>
              </w:rPr>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29870" cy="29210"/>
                      <wp:effectExtent l="0" t="0" r="0" b="0"/>
                      <wp:wrapNone/>
                      <wp:docPr id="3" name="Frame3"/>
                      <a:graphic xmlns:a="http://schemas.openxmlformats.org/drawingml/2006/main">
                        <a:graphicData uri="http://schemas.microsoft.com/office/word/2010/wordprocessingShape">
                          <wps:wsp>
                            <wps:cNvSpPr txBox="1"/>
                            <wps:spPr>
                              <a:xfrm>
                                <a:off x="0" y="0"/>
                                <a:ext cx="2298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 LOOKING STATEMENTS</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r>
      <w:tr>
        <w:trPr/>
        <w:tc>
          <w:tcPr>
            <w:tcW w:w="9843" w:type="dxa"/>
            <w:gridSpan w:val="2"/>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center"/>
              <w:rPr/>
            </w:pPr>
            <w:r>
              <w:rPr/>
              <w:t>​</w:t>
            </w:r>
          </w:p>
        </w:tc>
      </w:tr>
      <w:tr>
        <w:trPr/>
        <w:tc>
          <w:tcPr>
            <w:tcW w:w="961" w:type="dxa"/>
            <w:tcBorders/>
            <w:shd w:fill="CCEEFF" w:val="clear"/>
            <w:vAlign w:val="center"/>
          </w:tcPr>
          <w:p>
            <w:pPr>
              <w:pStyle w:val="TableContents"/>
              <w:bidi w:val="0"/>
              <w:spacing w:before="0" w:after="0"/>
              <w:ind w:left="0" w:right="0" w:hanging="0"/>
              <w:jc w:val="left"/>
              <w:rPr/>
            </w:pPr>
            <w:hyperlink w:anchor="PARTI_216544">
              <w:r>
                <w:rPr>
                  <w:rStyle w:val="InternetLink"/>
                  <w:rFonts w:ascii="Times New Roman;Times;serif" w:hAnsi="Times New Roman;Times;serif"/>
                  <w:b w:val="false"/>
                  <w:i w:val="false"/>
                  <w:caps w:val="false"/>
                  <w:smallCaps w:val="false"/>
                  <w:sz w:val="20"/>
                </w:rPr>
                <w:t>PART I</w:t>
              </w:r>
            </w:hyperlink>
          </w:p>
        </w:tc>
        <w:tc>
          <w:tcPr>
            <w:tcW w:w="8882" w:type="dxa"/>
            <w:tcBorders/>
            <w:shd w:fill="CCEEFF" w:val="clear"/>
            <w:vAlign w:val="center"/>
          </w:tcPr>
          <w:p>
            <w:pPr>
              <w:pStyle w:val="TableContents"/>
              <w:pBdr/>
              <w:bidi w:val="0"/>
              <w:spacing w:before="0" w:after="0"/>
              <w:ind w:left="0" w:right="0" w:hanging="0"/>
              <w:jc w:val="both"/>
              <w:rPr/>
            </w:pPr>
            <w:r>
              <w:rPr/>
              <w:t>​</w:t>
            </w:r>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61" w:type="dxa"/>
            <w:tcBorders/>
            <w:vAlign w:val="center"/>
          </w:tcPr>
          <w:p>
            <w:pPr>
              <w:pStyle w:val="TableContents"/>
              <w:bidi w:val="0"/>
              <w:spacing w:before="0" w:after="0"/>
              <w:ind w:left="0" w:right="0" w:hanging="0"/>
              <w:jc w:val="left"/>
              <w:rPr/>
            </w:pPr>
            <w:hyperlink w:anchor="ITEM1BUSINESS_740681">
              <w:r>
                <w:rPr>
                  <w:rStyle w:val="InternetLink"/>
                  <w:rFonts w:ascii="Times New Roman;Times;serif" w:hAnsi="Times New Roman;Times;serif"/>
                  <w:b w:val="false"/>
                  <w:i w:val="false"/>
                  <w:caps w:val="false"/>
                  <w:smallCaps w:val="false"/>
                  <w:sz w:val="20"/>
                </w:rPr>
                <w:t xml:space="preserve">ITEM 1. </w:t>
              </w:r>
            </w:hyperlink>
          </w:p>
        </w:tc>
        <w:tc>
          <w:tcPr>
            <w:tcW w:w="8882" w:type="dxa"/>
            <w:tcBorders/>
            <w:vAlign w:val="center"/>
          </w:tcPr>
          <w:p>
            <w:pPr>
              <w:pStyle w:val="TableContents"/>
              <w:pBdr/>
              <w:bidi w:val="0"/>
              <w:spacing w:before="0" w:after="0"/>
              <w:ind w:left="0" w:right="0" w:hanging="0"/>
              <w:jc w:val="both"/>
              <w:rPr/>
            </w:pPr>
            <w:hyperlink w:anchor="ITEM1BUSINESS_740681">
              <w:r>
                <w:rPr>
                  <w:rStyle w:val="InternetLink"/>
                  <w:rFonts w:ascii="Times New Roman;Times;serif" w:hAnsi="Times New Roman;Times;serif"/>
                  <w:b w:val="false"/>
                  <w:i w:val="false"/>
                  <w:caps w:val="false"/>
                  <w:smallCaps w:val="false"/>
                  <w:sz w:val="20"/>
                </w:rPr>
                <w:t>BUSINESS</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61" w:type="dxa"/>
            <w:tcBorders/>
            <w:shd w:fill="CCEEFF" w:val="clear"/>
            <w:vAlign w:val="center"/>
          </w:tcPr>
          <w:p>
            <w:pPr>
              <w:pStyle w:val="TableContents"/>
              <w:bidi w:val="0"/>
              <w:spacing w:before="0" w:after="0"/>
              <w:ind w:left="0" w:right="0" w:hanging="0"/>
              <w:jc w:val="left"/>
              <w:rPr/>
            </w:pPr>
            <w:hyperlink w:anchor="ITEM1ARISKFACTORS_770626">
              <w:r>
                <w:rPr>
                  <w:rStyle w:val="InternetLink"/>
                  <w:rFonts w:ascii="Times New Roman;Times;serif" w:hAnsi="Times New Roman;Times;serif"/>
                  <w:b w:val="false"/>
                  <w:i w:val="false"/>
                  <w:caps w:val="false"/>
                  <w:smallCaps w:val="false"/>
                  <w:sz w:val="20"/>
                </w:rPr>
                <w:t>ITEM 1A.</w:t>
              </w:r>
            </w:hyperlink>
          </w:p>
        </w:tc>
        <w:tc>
          <w:tcPr>
            <w:tcW w:w="8882" w:type="dxa"/>
            <w:tcBorders/>
            <w:shd w:fill="CCEEFF" w:val="clear"/>
            <w:vAlign w:val="center"/>
          </w:tcPr>
          <w:p>
            <w:pPr>
              <w:pStyle w:val="TableContents"/>
              <w:pBdr/>
              <w:bidi w:val="0"/>
              <w:spacing w:before="0" w:after="0"/>
              <w:ind w:left="0" w:right="0" w:hanging="0"/>
              <w:jc w:val="both"/>
              <w:rPr/>
            </w:pPr>
            <w:hyperlink w:anchor="ITEM1ARISKFACTORS_770626">
              <w:r>
                <w:rPr>
                  <w:rStyle w:val="InternetLink"/>
                  <w:rFonts w:ascii="Times New Roman;Times;serif" w:hAnsi="Times New Roman;Times;serif"/>
                  <w:b w:val="false"/>
                  <w:i w:val="false"/>
                  <w:caps w:val="false"/>
                  <w:smallCaps w:val="false"/>
                  <w:sz w:val="20"/>
                </w:rPr>
                <w:t>RISK FACTORS</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61" w:type="dxa"/>
            <w:tcBorders/>
            <w:vAlign w:val="center"/>
          </w:tcPr>
          <w:p>
            <w:pPr>
              <w:pStyle w:val="TableContents"/>
              <w:bidi w:val="0"/>
              <w:spacing w:before="0" w:after="0"/>
              <w:ind w:left="0" w:right="0" w:hanging="0"/>
              <w:jc w:val="left"/>
              <w:rPr/>
            </w:pPr>
            <w:hyperlink w:anchor="ITEM1BUNRESOLVEDSTAFFCOMMENTS_386329">
              <w:r>
                <w:rPr>
                  <w:rStyle w:val="InternetLink"/>
                  <w:rFonts w:ascii="Times New Roman;Times;serif" w:hAnsi="Times New Roman;Times;serif"/>
                  <w:b w:val="false"/>
                  <w:i w:val="false"/>
                  <w:caps w:val="false"/>
                  <w:smallCaps w:val="false"/>
                  <w:sz w:val="20"/>
                </w:rPr>
                <w:t xml:space="preserve">ITEM 1B. </w:t>
              </w:r>
            </w:hyperlink>
          </w:p>
        </w:tc>
        <w:tc>
          <w:tcPr>
            <w:tcW w:w="8882" w:type="dxa"/>
            <w:tcBorders/>
            <w:vAlign w:val="center"/>
          </w:tcPr>
          <w:p>
            <w:pPr>
              <w:pStyle w:val="TableContents"/>
              <w:pBdr/>
              <w:bidi w:val="0"/>
              <w:spacing w:before="0" w:after="0"/>
              <w:ind w:left="0" w:right="0" w:hanging="0"/>
              <w:jc w:val="both"/>
              <w:rPr/>
            </w:pPr>
            <w:hyperlink w:anchor="ITEM1BUNRESOLVEDSTAFFCOMMENTS_386329">
              <w:r>
                <w:rPr>
                  <w:rStyle w:val="InternetLink"/>
                  <w:rFonts w:ascii="Times New Roman;Times;serif" w:hAnsi="Times New Roman;Times;serif"/>
                  <w:b w:val="false"/>
                  <w:i w:val="false"/>
                  <w:caps w:val="false"/>
                  <w:smallCaps w:val="false"/>
                  <w:sz w:val="20"/>
                </w:rPr>
                <w:t>UNRESOLVED STAFF COMMENTS</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61" w:type="dxa"/>
            <w:tcBorders/>
            <w:shd w:fill="CCEEFF" w:val="clear"/>
            <w:vAlign w:val="center"/>
          </w:tcPr>
          <w:p>
            <w:pPr>
              <w:pStyle w:val="TableContents"/>
              <w:bidi w:val="0"/>
              <w:spacing w:before="0" w:after="0"/>
              <w:ind w:left="0" w:right="0" w:hanging="0"/>
              <w:jc w:val="left"/>
              <w:rPr/>
            </w:pPr>
            <w:hyperlink w:anchor="ITEM1CCYBERSECURITY_434270">
              <w:r>
                <w:rPr>
                  <w:rStyle w:val="InternetLink"/>
                  <w:rFonts w:ascii="Times New Roman;Times;serif" w:hAnsi="Times New Roman;Times;serif"/>
                  <w:b w:val="false"/>
                  <w:i w:val="false"/>
                  <w:caps w:val="false"/>
                  <w:smallCaps w:val="false"/>
                  <w:sz w:val="20"/>
                </w:rPr>
                <w:t>ITEM 1C.</w:t>
              </w:r>
            </w:hyperlink>
          </w:p>
        </w:tc>
        <w:tc>
          <w:tcPr>
            <w:tcW w:w="8882" w:type="dxa"/>
            <w:tcBorders/>
            <w:shd w:fill="CCEEFF" w:val="clear"/>
            <w:vAlign w:val="center"/>
          </w:tcPr>
          <w:p>
            <w:pPr>
              <w:pStyle w:val="TableContents"/>
              <w:pBdr/>
              <w:bidi w:val="0"/>
              <w:spacing w:before="0" w:after="0"/>
              <w:ind w:left="0" w:right="0" w:hanging="0"/>
              <w:jc w:val="both"/>
              <w:rPr/>
            </w:pPr>
            <w:hyperlink w:anchor="ITEM1CCYBERSECURITY_434270">
              <w:r>
                <w:rPr>
                  <w:rStyle w:val="InternetLink"/>
                  <w:rFonts w:ascii="Times New Roman;Times;serif" w:hAnsi="Times New Roman;Times;serif"/>
                  <w:b w:val="false"/>
                  <w:i w:val="false"/>
                  <w:caps w:val="false"/>
                  <w:smallCaps w:val="false"/>
                  <w:sz w:val="20"/>
                </w:rPr>
                <w:t>CYBERSECURITY</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61" w:type="dxa"/>
            <w:tcBorders/>
            <w:vAlign w:val="center"/>
          </w:tcPr>
          <w:p>
            <w:pPr>
              <w:pStyle w:val="TableContents"/>
              <w:bidi w:val="0"/>
              <w:spacing w:before="0" w:after="0"/>
              <w:ind w:left="0" w:right="0" w:hanging="0"/>
              <w:jc w:val="left"/>
              <w:rPr/>
            </w:pPr>
            <w:hyperlink w:anchor="ITEM2PROPERTIES_144495">
              <w:r>
                <w:rPr>
                  <w:rStyle w:val="InternetLink"/>
                  <w:rFonts w:ascii="Times New Roman;Times;serif" w:hAnsi="Times New Roman;Times;serif"/>
                  <w:b w:val="false"/>
                  <w:i w:val="false"/>
                  <w:caps w:val="false"/>
                  <w:smallCaps w:val="false"/>
                  <w:sz w:val="20"/>
                </w:rPr>
                <w:t>ITEM 2.</w:t>
              </w:r>
            </w:hyperlink>
          </w:p>
        </w:tc>
        <w:tc>
          <w:tcPr>
            <w:tcW w:w="8882" w:type="dxa"/>
            <w:tcBorders/>
            <w:vAlign w:val="center"/>
          </w:tcPr>
          <w:p>
            <w:pPr>
              <w:pStyle w:val="TableContents"/>
              <w:pBdr/>
              <w:bidi w:val="0"/>
              <w:spacing w:before="0" w:after="0"/>
              <w:ind w:left="0" w:right="0" w:hanging="0"/>
              <w:jc w:val="both"/>
              <w:rPr/>
            </w:pPr>
            <w:hyperlink w:anchor="ITEM2PROPERTIES_144495">
              <w:r>
                <w:rPr>
                  <w:rStyle w:val="InternetLink"/>
                  <w:rFonts w:ascii="Times New Roman;Times;serif" w:hAnsi="Times New Roman;Times;serif"/>
                  <w:b w:val="false"/>
                  <w:i w:val="false"/>
                  <w:caps w:val="false"/>
                  <w:smallCaps w:val="false"/>
                  <w:sz w:val="20"/>
                </w:rPr>
                <w:t>PROPERTIES</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61" w:type="dxa"/>
            <w:tcBorders/>
            <w:shd w:fill="CCEEFF" w:val="clear"/>
            <w:vAlign w:val="center"/>
          </w:tcPr>
          <w:p>
            <w:pPr>
              <w:pStyle w:val="TableContents"/>
              <w:bidi w:val="0"/>
              <w:spacing w:before="0" w:after="0"/>
              <w:ind w:left="0" w:right="0" w:hanging="0"/>
              <w:jc w:val="left"/>
              <w:rPr/>
            </w:pPr>
            <w:hyperlink w:anchor="ITEM3LEGALPROCEEDINGS_991192">
              <w:r>
                <w:rPr>
                  <w:rStyle w:val="InternetLink"/>
                  <w:rFonts w:ascii="Times New Roman;Times;serif" w:hAnsi="Times New Roman;Times;serif"/>
                  <w:b w:val="false"/>
                  <w:i w:val="false"/>
                  <w:caps w:val="false"/>
                  <w:smallCaps w:val="false"/>
                  <w:sz w:val="20"/>
                </w:rPr>
                <w:t xml:space="preserve">ITEM 3. </w:t>
              </w:r>
            </w:hyperlink>
          </w:p>
        </w:tc>
        <w:tc>
          <w:tcPr>
            <w:tcW w:w="8882" w:type="dxa"/>
            <w:tcBorders/>
            <w:shd w:fill="CCEEFF" w:val="clear"/>
            <w:vAlign w:val="center"/>
          </w:tcPr>
          <w:p>
            <w:pPr>
              <w:pStyle w:val="TableContents"/>
              <w:pBdr/>
              <w:bidi w:val="0"/>
              <w:spacing w:before="0" w:after="0"/>
              <w:ind w:left="0" w:right="0" w:hanging="0"/>
              <w:jc w:val="both"/>
              <w:rPr/>
            </w:pPr>
            <w:hyperlink w:anchor="ITEM3LEGALPROCEEDINGS_991192">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61" w:type="dxa"/>
            <w:tcBorders/>
            <w:vAlign w:val="center"/>
          </w:tcPr>
          <w:p>
            <w:pPr>
              <w:pStyle w:val="TableContents"/>
              <w:bidi w:val="0"/>
              <w:spacing w:before="0" w:after="0"/>
              <w:ind w:left="0" w:right="0" w:hanging="0"/>
              <w:jc w:val="left"/>
              <w:rPr/>
            </w:pPr>
            <w:hyperlink w:anchor="ITEM4MINESAFETYDISCLOSURES_625311">
              <w:r>
                <w:rPr>
                  <w:rStyle w:val="InternetLink"/>
                  <w:rFonts w:ascii="Times New Roman;Times;serif" w:hAnsi="Times New Roman;Times;serif"/>
                  <w:b w:val="false"/>
                  <w:i w:val="false"/>
                  <w:caps w:val="false"/>
                  <w:smallCaps w:val="false"/>
                  <w:sz w:val="20"/>
                </w:rPr>
                <w:t xml:space="preserve">ITEM 4. </w:t>
              </w:r>
            </w:hyperlink>
          </w:p>
        </w:tc>
        <w:tc>
          <w:tcPr>
            <w:tcW w:w="8882" w:type="dxa"/>
            <w:tcBorders/>
            <w:vAlign w:val="center"/>
          </w:tcPr>
          <w:p>
            <w:pPr>
              <w:pStyle w:val="TableContents"/>
              <w:pBdr/>
              <w:bidi w:val="0"/>
              <w:spacing w:before="0" w:after="0"/>
              <w:ind w:left="0" w:right="0" w:hanging="0"/>
              <w:jc w:val="both"/>
              <w:rPr/>
            </w:pPr>
            <w:hyperlink w:anchor="ITEM4MINESAFETYDISCLOSURES_625311">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61" w:type="dxa"/>
            <w:tcBorders/>
            <w:shd w:fill="CCEEFF" w:val="clear"/>
            <w:vAlign w:val="center"/>
          </w:tcPr>
          <w:p>
            <w:pPr>
              <w:pStyle w:val="TableContents"/>
              <w:bidi w:val="0"/>
              <w:spacing w:before="0" w:after="0"/>
              <w:ind w:left="0" w:right="0" w:hanging="0"/>
              <w:jc w:val="left"/>
              <w:rPr/>
            </w:pPr>
            <w:r>
              <w:rPr/>
              <w:t>​</w:t>
            </w:r>
          </w:p>
        </w:tc>
        <w:tc>
          <w:tcPr>
            <w:tcW w:w="8882" w:type="dxa"/>
            <w:tcBorders/>
            <w:shd w:fill="CCEEFF" w:val="clear"/>
            <w:vAlign w:val="center"/>
          </w:tcPr>
          <w:p>
            <w:pPr>
              <w:pStyle w:val="TableContents"/>
              <w:pBdr/>
              <w:bidi w:val="0"/>
              <w:spacing w:before="0" w:after="0"/>
              <w:ind w:left="0" w:right="0" w:hanging="0"/>
              <w:jc w:val="both"/>
              <w:rPr/>
            </w:pPr>
            <w:r>
              <w:rPr/>
              <w:t>​</w:t>
            </w:r>
          </w:p>
        </w:tc>
        <w:tc>
          <w:tcPr>
            <w:tcW w:w="362" w:type="dxa"/>
            <w:tcBorders/>
            <w:shd w:fill="CCEEFF" w:val="clear"/>
            <w:vAlign w:val="center"/>
          </w:tcPr>
          <w:p>
            <w:pPr>
              <w:pStyle w:val="TableContents"/>
              <w:bidi w:val="0"/>
              <w:spacing w:before="0" w:after="0"/>
              <w:ind w:left="0" w:right="0" w:hanging="0"/>
              <w:jc w:val="center"/>
              <w:rPr/>
            </w:pPr>
            <w:r>
              <w:rPr/>
              <w:t>​</w:t>
            </w:r>
          </w:p>
        </w:tc>
      </w:tr>
      <w:tr>
        <w:trPr/>
        <w:tc>
          <w:tcPr>
            <w:tcW w:w="961" w:type="dxa"/>
            <w:tcBorders/>
            <w:vAlign w:val="center"/>
          </w:tcPr>
          <w:p>
            <w:pPr>
              <w:pStyle w:val="TableContents"/>
              <w:bidi w:val="0"/>
              <w:spacing w:before="0" w:after="0"/>
              <w:ind w:left="0" w:right="0" w:hanging="0"/>
              <w:jc w:val="left"/>
              <w:rPr/>
            </w:pPr>
            <w:hyperlink w:anchor="PARTII_247947">
              <w:r>
                <w:rPr>
                  <w:rStyle w:val="InternetLink"/>
                  <w:rFonts w:ascii="Times New Roman;Times;serif" w:hAnsi="Times New Roman;Times;serif"/>
                  <w:b w:val="false"/>
                  <w:i w:val="false"/>
                  <w:caps w:val="false"/>
                  <w:smallCaps w:val="false"/>
                  <w:sz w:val="20"/>
                </w:rPr>
                <w:t>PART II</w:t>
              </w:r>
            </w:hyperlink>
          </w:p>
        </w:tc>
        <w:tc>
          <w:tcPr>
            <w:tcW w:w="8882" w:type="dxa"/>
            <w:tcBorders/>
            <w:vAlign w:val="center"/>
          </w:tcPr>
          <w:p>
            <w:pPr>
              <w:pStyle w:val="TableContents"/>
              <w:pBdr/>
              <w:bidi w:val="0"/>
              <w:spacing w:before="0" w:after="0"/>
              <w:ind w:left="0" w:right="0" w:hanging="0"/>
              <w:jc w:val="both"/>
              <w:rPr/>
            </w:pPr>
            <w:r>
              <w:rPr/>
              <w:t>​</w:t>
            </w:r>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961" w:type="dxa"/>
            <w:tcBorders/>
            <w:shd w:fill="CCEEFF" w:val="clear"/>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 xml:space="preserve">ITEM 5. </w:t>
              </w:r>
            </w:hyperlink>
          </w:p>
        </w:tc>
        <w:tc>
          <w:tcPr>
            <w:tcW w:w="8882" w:type="dxa"/>
            <w:tcBorders/>
            <w:shd w:fill="CCEEFF" w:val="clear"/>
            <w:vAlign w:val="center"/>
          </w:tcPr>
          <w:p>
            <w:pPr>
              <w:pStyle w:val="TableContents"/>
              <w:pBdr/>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961" w:type="dxa"/>
            <w:tcBorders/>
            <w:vAlign w:val="center"/>
          </w:tcPr>
          <w:p>
            <w:pPr>
              <w:pStyle w:val="TableContents"/>
              <w:bidi w:val="0"/>
              <w:spacing w:before="0" w:after="0"/>
              <w:ind w:left="0" w:right="0" w:hanging="0"/>
              <w:jc w:val="left"/>
              <w:rPr/>
            </w:pPr>
            <w:hyperlink w:anchor="ITEM6RESERVED_788666">
              <w:r>
                <w:rPr>
                  <w:rStyle w:val="InternetLink"/>
                  <w:rFonts w:ascii="Times New Roman;Times;serif" w:hAnsi="Times New Roman;Times;serif"/>
                  <w:b w:val="false"/>
                  <w:i w:val="false"/>
                  <w:caps w:val="false"/>
                  <w:smallCaps w:val="false"/>
                  <w:sz w:val="20"/>
                </w:rPr>
                <w:t xml:space="preserve">ITEM 6. </w:t>
              </w:r>
            </w:hyperlink>
          </w:p>
        </w:tc>
        <w:tc>
          <w:tcPr>
            <w:tcW w:w="8882" w:type="dxa"/>
            <w:tcBorders/>
            <w:vAlign w:val="center"/>
          </w:tcPr>
          <w:p>
            <w:pPr>
              <w:pStyle w:val="TableContents"/>
              <w:pBdr/>
              <w:bidi w:val="0"/>
              <w:spacing w:before="0" w:after="0"/>
              <w:ind w:left="0" w:right="0" w:hanging="0"/>
              <w:jc w:val="both"/>
              <w:rPr/>
            </w:pPr>
            <w:hyperlink w:anchor="ITEM6RESERVED_788666">
              <w:r>
                <w:rPr>
                  <w:rStyle w:val="InternetLink"/>
                  <w:rFonts w:ascii="Times New Roman;Times;serif" w:hAnsi="Times New Roman;Times;serif"/>
                  <w:b w:val="false"/>
                  <w:i w:val="false"/>
                  <w:caps w:val="false"/>
                  <w:smallCaps w:val="false"/>
                  <w:sz w:val="20"/>
                </w:rPr>
                <w:t>[RESERVED]</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961" w:type="dxa"/>
            <w:tcBorders/>
            <w:shd w:fill="CCEEFF" w:val="clear"/>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 xml:space="preserve">ITEM 7. </w:t>
              </w:r>
            </w:hyperlink>
          </w:p>
        </w:tc>
        <w:tc>
          <w:tcPr>
            <w:tcW w:w="8882" w:type="dxa"/>
            <w:tcBorders/>
            <w:shd w:fill="CCEEFF" w:val="clear"/>
            <w:vAlign w:val="center"/>
          </w:tcPr>
          <w:p>
            <w:pPr>
              <w:pStyle w:val="TableContents"/>
              <w:pBdr/>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96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 xml:space="preserve">ITEM 7A. </w:t>
              </w:r>
            </w:hyperlink>
          </w:p>
        </w:tc>
        <w:tc>
          <w:tcPr>
            <w:tcW w:w="8882" w:type="dxa"/>
            <w:tcBorders/>
            <w:vAlign w:val="center"/>
          </w:tcPr>
          <w:p>
            <w:pPr>
              <w:pStyle w:val="TableContents"/>
              <w:pBdr/>
              <w:bidi w:val="0"/>
              <w:spacing w:before="0" w:after="0"/>
              <w:ind w:left="0" w:right="0" w:hanging="0"/>
              <w:jc w:val="both"/>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961" w:type="dxa"/>
            <w:tcBorders/>
            <w:shd w:fill="CCEEFF" w:val="clear"/>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 xml:space="preserve">ITEM 8. </w:t>
              </w:r>
            </w:hyperlink>
          </w:p>
        </w:tc>
        <w:tc>
          <w:tcPr>
            <w:tcW w:w="8882" w:type="dxa"/>
            <w:tcBorders/>
            <w:shd w:fill="CCEEFF" w:val="clear"/>
            <w:vAlign w:val="center"/>
          </w:tcPr>
          <w:p>
            <w:pPr>
              <w:pStyle w:val="TableContents"/>
              <w:pBdr/>
              <w:bidi w:val="0"/>
              <w:spacing w:before="0" w:after="0"/>
              <w:ind w:left="0" w:right="0" w:hanging="0"/>
              <w:jc w:val="both"/>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 INDEX TO FINANCIAL STATEMENTS</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96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882"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961" w:type="dxa"/>
            <w:tcBorders/>
            <w:shd w:fill="CCEEFF" w:val="clear"/>
            <w:vAlign w:val="center"/>
          </w:tcPr>
          <w:p>
            <w:pPr>
              <w:pStyle w:val="TableContents"/>
              <w:bidi w:val="0"/>
              <w:spacing w:before="0" w:after="0"/>
              <w:ind w:left="0" w:right="0" w:hanging="0"/>
              <w:jc w:val="left"/>
              <w:rPr/>
            </w:pPr>
            <w:hyperlink w:anchor="ITEM9ACONTROLSANDPROCEDURES_49225">
              <w:r>
                <w:rPr>
                  <w:rStyle w:val="InternetLink"/>
                  <w:rFonts w:ascii="Times New Roman;Times;serif" w:hAnsi="Times New Roman;Times;serif"/>
                  <w:b w:val="false"/>
                  <w:i w:val="false"/>
                  <w:caps w:val="false"/>
                  <w:smallCaps w:val="false"/>
                  <w:sz w:val="20"/>
                </w:rPr>
                <w:t>ITEM 9A.</w:t>
              </w:r>
            </w:hyperlink>
          </w:p>
        </w:tc>
        <w:tc>
          <w:tcPr>
            <w:tcW w:w="8882" w:type="dxa"/>
            <w:tcBorders/>
            <w:shd w:fill="CCEEFF" w:val="clear"/>
            <w:vAlign w:val="center"/>
          </w:tcPr>
          <w:p>
            <w:pPr>
              <w:pStyle w:val="TableContents"/>
              <w:pBdr/>
              <w:bidi w:val="0"/>
              <w:spacing w:before="0" w:after="0"/>
              <w:ind w:left="0" w:right="0" w:hanging="0"/>
              <w:jc w:val="both"/>
              <w:rPr/>
            </w:pPr>
            <w:hyperlink w:anchor="ITEM9ACONTROLSANDPROCEDURES_49225">
              <w:r>
                <w:rPr>
                  <w:rStyle w:val="InternetLink"/>
                  <w:rFonts w:ascii="Times New Roman;Times;serif" w:hAnsi="Times New Roman;Times;serif"/>
                  <w:b w:val="false"/>
                  <w:i w:val="false"/>
                  <w:caps w:val="false"/>
                  <w:smallCaps w:val="false"/>
                  <w:sz w:val="20"/>
                </w:rPr>
                <w:t>CONTROLS AND PROCEDURES</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961" w:type="dxa"/>
            <w:tcBorders/>
            <w:vAlign w:val="center"/>
          </w:tcPr>
          <w:p>
            <w:pPr>
              <w:pStyle w:val="TableContents"/>
              <w:bidi w:val="0"/>
              <w:spacing w:before="0" w:after="0"/>
              <w:ind w:left="0" w:right="0" w:hanging="0"/>
              <w:jc w:val="left"/>
              <w:rPr/>
            </w:pPr>
            <w:hyperlink w:anchor="ITEM9BOTHERINFORMATION_482658">
              <w:r>
                <w:rPr>
                  <w:rStyle w:val="InternetLink"/>
                  <w:rFonts w:ascii="Times New Roman;Times;serif" w:hAnsi="Times New Roman;Times;serif"/>
                  <w:b w:val="false"/>
                  <w:i w:val="false"/>
                  <w:caps w:val="false"/>
                  <w:smallCaps w:val="false"/>
                  <w:sz w:val="20"/>
                </w:rPr>
                <w:t xml:space="preserve">ITEM 9B. </w:t>
              </w:r>
            </w:hyperlink>
          </w:p>
        </w:tc>
        <w:tc>
          <w:tcPr>
            <w:tcW w:w="8882" w:type="dxa"/>
            <w:tcBorders/>
            <w:vAlign w:val="center"/>
          </w:tcPr>
          <w:p>
            <w:pPr>
              <w:pStyle w:val="TableContents"/>
              <w:pBdr/>
              <w:bidi w:val="0"/>
              <w:spacing w:before="0" w:after="0"/>
              <w:ind w:left="0" w:right="0" w:hanging="0"/>
              <w:jc w:val="both"/>
              <w:rPr/>
            </w:pPr>
            <w:hyperlink w:anchor="ITEM9BOTHERINFORMATION_482658">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961" w:type="dxa"/>
            <w:tcBorders/>
            <w:shd w:fill="CCEEFF" w:val="clear"/>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 xml:space="preserve">ITEM 9C. </w:t>
              </w:r>
            </w:hyperlink>
          </w:p>
        </w:tc>
        <w:tc>
          <w:tcPr>
            <w:tcW w:w="8882" w:type="dxa"/>
            <w:tcBorders/>
            <w:shd w:fill="CCEEFF" w:val="clear"/>
            <w:vAlign w:val="center"/>
          </w:tcPr>
          <w:p>
            <w:pPr>
              <w:pStyle w:val="TableContents"/>
              <w:pBdr/>
              <w:bidi w:val="0"/>
              <w:spacing w:before="0" w:after="0"/>
              <w:ind w:left="0" w:right="0" w:hanging="0"/>
              <w:jc w:val="both"/>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961" w:type="dxa"/>
            <w:tcBorders/>
            <w:vAlign w:val="center"/>
          </w:tcPr>
          <w:p>
            <w:pPr>
              <w:pStyle w:val="TableContents"/>
              <w:bidi w:val="0"/>
              <w:spacing w:before="0" w:after="0"/>
              <w:ind w:left="0" w:right="0" w:hanging="0"/>
              <w:jc w:val="left"/>
              <w:rPr/>
            </w:pPr>
            <w:r>
              <w:rPr/>
              <w:t>​</w:t>
            </w:r>
          </w:p>
        </w:tc>
        <w:tc>
          <w:tcPr>
            <w:tcW w:w="8882" w:type="dxa"/>
            <w:tcBorders/>
            <w:vAlign w:val="center"/>
          </w:tcPr>
          <w:p>
            <w:pPr>
              <w:pStyle w:val="TableContents"/>
              <w:pBdr/>
              <w:bidi w:val="0"/>
              <w:spacing w:before="0" w:after="0"/>
              <w:ind w:left="0" w:right="0" w:hanging="0"/>
              <w:jc w:val="both"/>
              <w:rPr/>
            </w:pPr>
            <w:r>
              <w:rPr/>
              <w:t>​</w:t>
            </w:r>
          </w:p>
        </w:tc>
        <w:tc>
          <w:tcPr>
            <w:tcW w:w="362" w:type="dxa"/>
            <w:tcBorders/>
            <w:vAlign w:val="center"/>
          </w:tcPr>
          <w:p>
            <w:pPr>
              <w:pStyle w:val="TableContents"/>
              <w:bidi w:val="0"/>
              <w:spacing w:before="0" w:after="0"/>
              <w:ind w:left="0" w:right="0" w:hanging="0"/>
              <w:jc w:val="center"/>
              <w:rPr/>
            </w:pPr>
            <w:r>
              <w:rPr/>
              <w:t>​</w:t>
            </w:r>
          </w:p>
        </w:tc>
      </w:tr>
      <w:tr>
        <w:trPr/>
        <w:tc>
          <w:tcPr>
            <w:tcW w:w="961" w:type="dxa"/>
            <w:tcBorders/>
            <w:shd w:fill="CCEEFF" w:val="clear"/>
            <w:vAlign w:val="center"/>
          </w:tcPr>
          <w:p>
            <w:pPr>
              <w:pStyle w:val="TableContents"/>
              <w:bidi w:val="0"/>
              <w:spacing w:before="0" w:after="0"/>
              <w:ind w:left="0" w:right="0" w:hanging="0"/>
              <w:jc w:val="left"/>
              <w:rPr/>
            </w:pPr>
            <w:hyperlink w:anchor="PARTIII_333134">
              <w:r>
                <w:rPr>
                  <w:rStyle w:val="InternetLink"/>
                  <w:rFonts w:ascii="Times New Roman;Times;serif" w:hAnsi="Times New Roman;Times;serif"/>
                  <w:b w:val="false"/>
                  <w:i w:val="false"/>
                  <w:caps w:val="false"/>
                  <w:smallCaps w:val="false"/>
                  <w:sz w:val="20"/>
                </w:rPr>
                <w:t>PART III</w:t>
              </w:r>
            </w:hyperlink>
          </w:p>
        </w:tc>
        <w:tc>
          <w:tcPr>
            <w:tcW w:w="8882" w:type="dxa"/>
            <w:tcBorders/>
            <w:shd w:fill="CCEEFF" w:val="clear"/>
            <w:vAlign w:val="center"/>
          </w:tcPr>
          <w:p>
            <w:pPr>
              <w:pStyle w:val="TableContents"/>
              <w:pBdr/>
              <w:bidi w:val="0"/>
              <w:spacing w:before="0" w:after="0"/>
              <w:ind w:left="0" w:right="0" w:hanging="0"/>
              <w:jc w:val="both"/>
              <w:rPr/>
            </w:pPr>
            <w:r>
              <w:rPr/>
              <w:t>​</w:t>
            </w:r>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6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 xml:space="preserve">ITEM 10. </w:t>
              </w:r>
            </w:hyperlink>
          </w:p>
        </w:tc>
        <w:tc>
          <w:tcPr>
            <w:tcW w:w="8882" w:type="dxa"/>
            <w:tcBorders/>
            <w:vAlign w:val="center"/>
          </w:tcPr>
          <w:p>
            <w:pPr>
              <w:pStyle w:val="TableContents"/>
              <w:pBdr/>
              <w:bidi w:val="0"/>
              <w:spacing w:before="0" w:after="0"/>
              <w:ind w:left="0" w:right="0" w:hanging="0"/>
              <w:jc w:val="both"/>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61" w:type="dxa"/>
            <w:tcBorders/>
            <w:shd w:fill="CCEEFF" w:val="clear"/>
            <w:vAlign w:val="center"/>
          </w:tcPr>
          <w:p>
            <w:pPr>
              <w:pStyle w:val="TableContents"/>
              <w:bidi w:val="0"/>
              <w:spacing w:before="0" w:after="0"/>
              <w:ind w:left="0" w:right="0" w:hanging="0"/>
              <w:jc w:val="left"/>
              <w:rPr/>
            </w:pPr>
            <w:hyperlink w:anchor="ITEM11EXECUTIVECOMPENSATION1_999274">
              <w:r>
                <w:rPr>
                  <w:rStyle w:val="InternetLink"/>
                  <w:rFonts w:ascii="Times New Roman;Times;serif" w:hAnsi="Times New Roman;Times;serif"/>
                  <w:b w:val="false"/>
                  <w:i w:val="false"/>
                  <w:caps w:val="false"/>
                  <w:smallCaps w:val="false"/>
                  <w:sz w:val="20"/>
                </w:rPr>
                <w:t xml:space="preserve">ITEM 11. </w:t>
              </w:r>
            </w:hyperlink>
          </w:p>
        </w:tc>
        <w:tc>
          <w:tcPr>
            <w:tcW w:w="8882" w:type="dxa"/>
            <w:tcBorders/>
            <w:shd w:fill="CCEEFF" w:val="clear"/>
            <w:vAlign w:val="center"/>
          </w:tcPr>
          <w:p>
            <w:pPr>
              <w:pStyle w:val="TableContents"/>
              <w:pBdr/>
              <w:bidi w:val="0"/>
              <w:spacing w:before="0" w:after="0"/>
              <w:ind w:left="0" w:right="0" w:hanging="0"/>
              <w:jc w:val="both"/>
              <w:rPr/>
            </w:pPr>
            <w:hyperlink w:anchor="ITEM11EXECUTIVECOMPENSATION1_999274">
              <w:r>
                <w:rPr>
                  <w:rStyle w:val="InternetLink"/>
                  <w:rFonts w:ascii="Times New Roman;Times;serif" w:hAnsi="Times New Roman;Times;serif"/>
                  <w:b w:val="false"/>
                  <w:i w:val="false"/>
                  <w:caps w:val="false"/>
                  <w:smallCaps w:val="false"/>
                  <w:sz w:val="20"/>
                </w:rPr>
                <w:t>EXECUTIVE COMPENSATION</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6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 xml:space="preserve">ITEM 12. </w:t>
              </w:r>
            </w:hyperlink>
          </w:p>
        </w:tc>
        <w:tc>
          <w:tcPr>
            <w:tcW w:w="8882"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61" w:type="dxa"/>
            <w:tcBorders/>
            <w:shd w:fill="CCEEFF" w:val="clear"/>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 xml:space="preserve">ITEM 13. </w:t>
              </w:r>
            </w:hyperlink>
          </w:p>
        </w:tc>
        <w:tc>
          <w:tcPr>
            <w:tcW w:w="8882" w:type="dxa"/>
            <w:tcBorders/>
            <w:shd w:fill="CCEEFF" w:val="clear"/>
            <w:vAlign w:val="center"/>
          </w:tcPr>
          <w:p>
            <w:pPr>
              <w:pStyle w:val="TableContents"/>
              <w:pBdr/>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6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8882" w:type="dxa"/>
            <w:tcBorders/>
            <w:vAlign w:val="center"/>
          </w:tcPr>
          <w:p>
            <w:pPr>
              <w:pStyle w:val="TableContents"/>
              <w:pBdr/>
              <w:bidi w:val="0"/>
              <w:spacing w:before="0" w:after="0"/>
              <w:ind w:left="0" w:right="0" w:hanging="0"/>
              <w:jc w:val="both"/>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961" w:type="dxa"/>
            <w:tcBorders/>
            <w:shd w:fill="CCEEFF" w:val="clear"/>
            <w:vAlign w:val="center"/>
          </w:tcPr>
          <w:p>
            <w:pPr>
              <w:pStyle w:val="TableContents"/>
              <w:bidi w:val="0"/>
              <w:spacing w:before="0" w:after="0"/>
              <w:ind w:left="0" w:right="0" w:hanging="0"/>
              <w:jc w:val="left"/>
              <w:rPr/>
            </w:pPr>
            <w:r>
              <w:rPr/>
              <w:t>​</w:t>
            </w:r>
          </w:p>
        </w:tc>
        <w:tc>
          <w:tcPr>
            <w:tcW w:w="8882" w:type="dxa"/>
            <w:tcBorders/>
            <w:shd w:fill="CCEEFF" w:val="clear"/>
            <w:vAlign w:val="center"/>
          </w:tcPr>
          <w:p>
            <w:pPr>
              <w:pStyle w:val="TableContents"/>
              <w:pBdr/>
              <w:bidi w:val="0"/>
              <w:spacing w:before="0" w:after="0"/>
              <w:ind w:left="0" w:right="0" w:hanging="0"/>
              <w:jc w:val="both"/>
              <w:rPr/>
            </w:pPr>
            <w:r>
              <w:rPr/>
              <w:t>​</w:t>
            </w:r>
          </w:p>
        </w:tc>
        <w:tc>
          <w:tcPr>
            <w:tcW w:w="362" w:type="dxa"/>
            <w:tcBorders/>
            <w:shd w:fill="CCEEFF" w:val="clear"/>
            <w:vAlign w:val="center"/>
          </w:tcPr>
          <w:p>
            <w:pPr>
              <w:pStyle w:val="TableContents"/>
              <w:bidi w:val="0"/>
              <w:spacing w:before="0" w:after="0"/>
              <w:ind w:left="0" w:right="0" w:hanging="0"/>
              <w:jc w:val="center"/>
              <w:rPr/>
            </w:pPr>
            <w:r>
              <w:rPr/>
              <w:t>​</w:t>
            </w:r>
          </w:p>
        </w:tc>
      </w:tr>
      <w:tr>
        <w:trPr/>
        <w:tc>
          <w:tcPr>
            <w:tcW w:w="961" w:type="dxa"/>
            <w:tcBorders/>
            <w:vAlign w:val="center"/>
          </w:tcPr>
          <w:p>
            <w:pPr>
              <w:pStyle w:val="TableContents"/>
              <w:bidi w:val="0"/>
              <w:spacing w:before="0" w:after="0"/>
              <w:ind w:left="0" w:right="0" w:hanging="0"/>
              <w:jc w:val="left"/>
              <w:rPr/>
            </w:pPr>
            <w:hyperlink w:anchor="PARTIV_565133">
              <w:r>
                <w:rPr>
                  <w:rStyle w:val="InternetLink"/>
                  <w:rFonts w:ascii="Times New Roman;Times;serif" w:hAnsi="Times New Roman;Times;serif"/>
                  <w:b w:val="false"/>
                  <w:i w:val="false"/>
                  <w:caps w:val="false"/>
                  <w:smallCaps w:val="false"/>
                  <w:sz w:val="20"/>
                </w:rPr>
                <w:t>PART IV</w:t>
              </w:r>
            </w:hyperlink>
          </w:p>
        </w:tc>
        <w:tc>
          <w:tcPr>
            <w:tcW w:w="8882" w:type="dxa"/>
            <w:tcBorders/>
            <w:vAlign w:val="center"/>
          </w:tcPr>
          <w:p>
            <w:pPr>
              <w:pStyle w:val="TableContents"/>
              <w:pBdr/>
              <w:bidi w:val="0"/>
              <w:spacing w:before="0" w:after="0"/>
              <w:ind w:left="0" w:right="0" w:hanging="0"/>
              <w:jc w:val="both"/>
              <w:rPr/>
            </w:pPr>
            <w:r>
              <w:rPr/>
              <w:t>​</w:t>
            </w:r>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961" w:type="dxa"/>
            <w:tcBorders/>
            <w:shd w:fill="CCEEFF" w:val="clear"/>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 xml:space="preserve">ITEM 15. </w:t>
              </w:r>
            </w:hyperlink>
          </w:p>
        </w:tc>
        <w:tc>
          <w:tcPr>
            <w:tcW w:w="8882" w:type="dxa"/>
            <w:tcBorders/>
            <w:shd w:fill="CCEEFF" w:val="clear"/>
            <w:vAlign w:val="center"/>
          </w:tcPr>
          <w:p>
            <w:pPr>
              <w:pStyle w:val="TableContents"/>
              <w:pBdr/>
              <w:bidi w:val="0"/>
              <w:spacing w:before="0" w:after="0"/>
              <w:ind w:left="0" w:right="0" w:hanging="0"/>
              <w:jc w:val="both"/>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3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961" w:type="dxa"/>
            <w:tcBorders/>
            <w:vAlign w:val="center"/>
          </w:tcPr>
          <w:p>
            <w:pPr>
              <w:pStyle w:val="TableContents"/>
              <w:bidi w:val="0"/>
              <w:spacing w:before="0" w:after="0"/>
              <w:ind w:left="0" w:right="0" w:hanging="0"/>
              <w:jc w:val="left"/>
              <w:rPr/>
            </w:pPr>
            <w:hyperlink w:anchor="ITEM16FORM10KSUMMARY_700677">
              <w:r>
                <w:rPr>
                  <w:rStyle w:val="InternetLink"/>
                  <w:rFonts w:ascii="Times New Roman;Times;serif" w:hAnsi="Times New Roman;Times;serif"/>
                  <w:b w:val="false"/>
                  <w:i w:val="false"/>
                  <w:caps w:val="false"/>
                  <w:smallCaps w:val="false"/>
                  <w:sz w:val="20"/>
                </w:rPr>
                <w:t xml:space="preserve">ITEM 16. </w:t>
              </w:r>
            </w:hyperlink>
          </w:p>
        </w:tc>
        <w:tc>
          <w:tcPr>
            <w:tcW w:w="8882" w:type="dxa"/>
            <w:tcBorders/>
            <w:vAlign w:val="center"/>
          </w:tcPr>
          <w:p>
            <w:pPr>
              <w:pStyle w:val="TableContents"/>
              <w:pBdr/>
              <w:bidi w:val="0"/>
              <w:spacing w:before="0" w:after="0"/>
              <w:ind w:left="0" w:right="0" w:hanging="0"/>
              <w:jc w:val="both"/>
              <w:rPr/>
            </w:pPr>
            <w:hyperlink w:anchor="ITEM16FORM10KSUMMARY_700677">
              <w:r>
                <w:rPr>
                  <w:rStyle w:val="InternetLink"/>
                  <w:rFonts w:ascii="Times New Roman;Times;serif" w:hAnsi="Times New Roman;Times;serif"/>
                  <w:b w:val="false"/>
                  <w:i w:val="false"/>
                  <w:caps w:val="false"/>
                  <w:smallCaps w:val="false"/>
                  <w:sz w:val="20"/>
                </w:rPr>
                <w:t>FORM 10-K SUMMARY</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961" w:type="dxa"/>
            <w:tcBorders/>
            <w:shd w:fill="CCEEFF" w:val="clear"/>
            <w:vAlign w:val="center"/>
          </w:tcPr>
          <w:p>
            <w:pPr>
              <w:pStyle w:val="TableContents"/>
              <w:bidi w:val="0"/>
              <w:spacing w:before="0" w:after="0"/>
              <w:ind w:left="0" w:right="0" w:hanging="0"/>
              <w:jc w:val="left"/>
              <w:rPr/>
            </w:pPr>
            <w:r>
              <w:rPr/>
              <w:t>​</w:t>
            </w:r>
          </w:p>
        </w:tc>
        <w:tc>
          <w:tcPr>
            <w:tcW w:w="8882" w:type="dxa"/>
            <w:tcBorders/>
            <w:shd w:fill="CCEEFF" w:val="clear"/>
            <w:vAlign w:val="center"/>
          </w:tcPr>
          <w:p>
            <w:pPr>
              <w:pStyle w:val="TableContents"/>
              <w:pBdr/>
              <w:bidi w:val="0"/>
              <w:spacing w:before="0" w:after="0"/>
              <w:ind w:left="0" w:right="0" w:hanging="0"/>
              <w:jc w:val="both"/>
              <w:rPr/>
            </w:pPr>
            <w:r>
              <w:rPr/>
              <w:t>​</w:t>
            </w:r>
          </w:p>
        </w:tc>
        <w:tc>
          <w:tcPr>
            <w:tcW w:w="362" w:type="dxa"/>
            <w:tcBorders/>
            <w:shd w:fill="CCEEFF" w:val="clear"/>
            <w:vAlign w:val="center"/>
          </w:tcPr>
          <w:p>
            <w:pPr>
              <w:pStyle w:val="TableContents"/>
              <w:bidi w:val="0"/>
              <w:spacing w:before="0" w:after="0"/>
              <w:ind w:left="0" w:right="0" w:hanging="0"/>
              <w:jc w:val="center"/>
              <w:rPr/>
            </w:pPr>
            <w:r>
              <w:rPr/>
              <w:t>​</w:t>
            </w:r>
          </w:p>
        </w:tc>
      </w:tr>
      <w:tr>
        <w:trPr/>
        <w:tc>
          <w:tcPr>
            <w:tcW w:w="9843" w:type="dxa"/>
            <w:gridSpan w:val="2"/>
            <w:tcBorders/>
            <w:vAlign w:val="center"/>
          </w:tcPr>
          <w:p>
            <w:pPr>
              <w:pStyle w:val="TableContents"/>
              <w:bidi w:val="0"/>
              <w:spacing w:before="0" w:after="0"/>
              <w:ind w:left="0" w:right="0" w:hanging="0"/>
              <w:jc w:val="left"/>
              <w:rPr/>
            </w:pPr>
            <w:hyperlink w:anchor="SIGNATURES_102858">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 w:name="CAUTIONARYNOTEREGARDINGFORWARDLOOKINGSTA"/>
      <w:bookmarkStart w:id="28" w:name="_f9797c38_a2b8_401d_9ec1_a8c2cb1b4028"/>
      <w:bookmarkEnd w:id="27"/>
      <w:bookmarkEnd w:id="28"/>
      <w:r>
        <w:rPr>
          <w:rFonts w:ascii="Times New Roman;Times;serif" w:hAnsi="Times New Roman;Times;serif"/>
          <w:b/>
          <w:sz w:val="20"/>
        </w:rPr>
        <w:t>CAUTIONARY NOTE REGARDING FORWARD 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statements included in this Annual Report on Form 10-K (the “Annual Report”) contain statements that are forward-looking and as such are not historical facts. These forward-looking statements are based on Binah Capital Group,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Annual Report,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tbl>
      <w:tblPr>
        <w:tblW w:w="6797" w:type="dxa"/>
        <w:jc w:val="left"/>
        <w:tblInd w:w="0" w:type="dxa"/>
        <w:tblLayout w:type="fixed"/>
        <w:tblCellMar>
          <w:top w:w="0" w:type="dxa"/>
          <w:left w:w="0" w:type="dxa"/>
          <w:bottom w:w="0" w:type="dxa"/>
          <w:right w:w="0" w:type="dxa"/>
        </w:tblCellMar>
      </w:tblPr>
      <w:tblGrid>
        <w:gridCol w:w="271"/>
        <w:gridCol w:w="6526"/>
      </w:tblGrid>
      <w:tr>
        <w:trPr/>
        <w:tc>
          <w:tcPr>
            <w:tcW w:w="271" w:type="dxa"/>
            <w:tcBorders/>
            <w:vAlign w:val="center"/>
          </w:tcPr>
          <w:p>
            <w:pPr>
              <w:pStyle w:val="TableContents"/>
              <w:bidi w:val="0"/>
              <w:spacing w:before="0" w:after="283"/>
              <w:jc w:val="left"/>
              <w:rPr/>
            </w:pPr>
            <w:r>
              <w:rPr/>
              <w:t>●</w:t>
            </w:r>
          </w:p>
        </w:tc>
        <w:tc>
          <w:tcPr>
            <w:tcW w:w="6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supervisory and regulatory compliance obligations;</w:t>
            </w:r>
          </w:p>
        </w:tc>
      </w:tr>
    </w:tbl>
    <w:tbl>
      <w:tblPr>
        <w:tblW w:w="5552" w:type="dxa"/>
        <w:jc w:val="left"/>
        <w:tblInd w:w="0" w:type="dxa"/>
        <w:tblLayout w:type="fixed"/>
        <w:tblCellMar>
          <w:top w:w="0" w:type="dxa"/>
          <w:left w:w="0" w:type="dxa"/>
          <w:bottom w:w="0" w:type="dxa"/>
          <w:right w:w="0" w:type="dxa"/>
        </w:tblCellMar>
      </w:tblPr>
      <w:tblGrid>
        <w:gridCol w:w="271"/>
        <w:gridCol w:w="5281"/>
      </w:tblGrid>
      <w:tr>
        <w:trPr/>
        <w:tc>
          <w:tcPr>
            <w:tcW w:w="271" w:type="dxa"/>
            <w:tcBorders/>
            <w:vAlign w:val="center"/>
          </w:tcPr>
          <w:p>
            <w:pPr>
              <w:pStyle w:val="TableContents"/>
              <w:bidi w:val="0"/>
              <w:spacing w:before="0" w:after="283"/>
              <w:jc w:val="left"/>
              <w:rPr/>
            </w:pPr>
            <w:r>
              <w:rPr/>
              <w:t>●</w:t>
            </w:r>
          </w:p>
        </w:tc>
        <w:tc>
          <w:tcPr>
            <w:tcW w:w="5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we may be held liable for misconduct by their advisors;</w:t>
            </w:r>
          </w:p>
        </w:tc>
      </w:tr>
    </w:tbl>
    <w:tbl>
      <w:tblPr>
        <w:tblW w:w="5162" w:type="dxa"/>
        <w:jc w:val="left"/>
        <w:tblInd w:w="0" w:type="dxa"/>
        <w:tblLayout w:type="fixed"/>
        <w:tblCellMar>
          <w:top w:w="0" w:type="dxa"/>
          <w:left w:w="0" w:type="dxa"/>
          <w:bottom w:w="0" w:type="dxa"/>
          <w:right w:w="0" w:type="dxa"/>
        </w:tblCellMar>
      </w:tblPr>
      <w:tblGrid>
        <w:gridCol w:w="271"/>
        <w:gridCol w:w="4891"/>
      </w:tblGrid>
      <w:tr>
        <w:trPr/>
        <w:tc>
          <w:tcPr>
            <w:tcW w:w="271" w:type="dxa"/>
            <w:tcBorders/>
            <w:vAlign w:val="center"/>
          </w:tcPr>
          <w:p>
            <w:pPr>
              <w:pStyle w:val="TableContents"/>
              <w:bidi w:val="0"/>
              <w:spacing w:before="0" w:after="283"/>
              <w:jc w:val="left"/>
              <w:rPr/>
            </w:pPr>
            <w:r>
              <w:rPr/>
              <w:t>●</w:t>
            </w:r>
          </w:p>
        </w:tc>
        <w:tc>
          <w:tcPr>
            <w:tcW w:w="4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performance of our investment products and services;</w:t>
            </w:r>
          </w:p>
        </w:tc>
      </w:tr>
    </w:tbl>
    <w:tbl>
      <w:tblPr>
        <w:tblW w:w="6347" w:type="dxa"/>
        <w:jc w:val="left"/>
        <w:tblInd w:w="0" w:type="dxa"/>
        <w:tblLayout w:type="fixed"/>
        <w:tblCellMar>
          <w:top w:w="0" w:type="dxa"/>
          <w:left w:w="0" w:type="dxa"/>
          <w:bottom w:w="0" w:type="dxa"/>
          <w:right w:w="0" w:type="dxa"/>
        </w:tblCellMar>
      </w:tblPr>
      <w:tblGrid>
        <w:gridCol w:w="271"/>
        <w:gridCol w:w="6076"/>
      </w:tblGrid>
      <w:tr>
        <w:trPr/>
        <w:tc>
          <w:tcPr>
            <w:tcW w:w="271" w:type="dxa"/>
            <w:tcBorders/>
            <w:vAlign w:val="center"/>
          </w:tcPr>
          <w:p>
            <w:pPr>
              <w:pStyle w:val="TableContents"/>
              <w:bidi w:val="0"/>
              <w:spacing w:before="0" w:after="283"/>
              <w:jc w:val="left"/>
              <w:rPr/>
            </w:pPr>
            <w:r>
              <w:rPr/>
              <w:t>●</w:t>
            </w:r>
          </w:p>
        </w:tc>
        <w:tc>
          <w:tcPr>
            <w:tcW w:w="6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maintain and enhance our brand and reputation;</w:t>
            </w:r>
          </w:p>
        </w:tc>
      </w:tr>
    </w:tbl>
    <w:tbl>
      <w:tblPr>
        <w:tblW w:w="4547" w:type="dxa"/>
        <w:jc w:val="left"/>
        <w:tblInd w:w="0" w:type="dxa"/>
        <w:tblLayout w:type="fixed"/>
        <w:tblCellMar>
          <w:top w:w="0" w:type="dxa"/>
          <w:left w:w="0" w:type="dxa"/>
          <w:bottom w:w="0" w:type="dxa"/>
          <w:right w:w="0" w:type="dxa"/>
        </w:tblCellMar>
      </w:tblPr>
      <w:tblGrid>
        <w:gridCol w:w="271"/>
        <w:gridCol w:w="4276"/>
      </w:tblGrid>
      <w:tr>
        <w:trPr/>
        <w:tc>
          <w:tcPr>
            <w:tcW w:w="271" w:type="dxa"/>
            <w:tcBorders/>
            <w:vAlign w:val="center"/>
          </w:tcPr>
          <w:p>
            <w:pPr>
              <w:pStyle w:val="TableContents"/>
              <w:bidi w:val="0"/>
              <w:spacing w:before="0" w:after="283"/>
              <w:jc w:val="left"/>
              <w:rPr/>
            </w:pPr>
            <w:r>
              <w:rPr/>
              <w:t>●</w:t>
            </w:r>
          </w:p>
        </w:tc>
        <w:tc>
          <w:tcPr>
            <w:tcW w:w="4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and retain our customer base;</w:t>
            </w:r>
          </w:p>
        </w:tc>
      </w:tr>
    </w:tbl>
    <w:tbl>
      <w:tblPr>
        <w:tblW w:w="5312" w:type="dxa"/>
        <w:jc w:val="left"/>
        <w:tblInd w:w="0" w:type="dxa"/>
        <w:tblLayout w:type="fixed"/>
        <w:tblCellMar>
          <w:top w:w="0" w:type="dxa"/>
          <w:left w:w="0" w:type="dxa"/>
          <w:bottom w:w="0" w:type="dxa"/>
          <w:right w:w="0" w:type="dxa"/>
        </w:tblCellMar>
      </w:tblPr>
      <w:tblGrid>
        <w:gridCol w:w="271"/>
        <w:gridCol w:w="5041"/>
      </w:tblGrid>
      <w:tr>
        <w:trPr/>
        <w:tc>
          <w:tcPr>
            <w:tcW w:w="271" w:type="dxa"/>
            <w:tcBorders/>
            <w:vAlign w:val="center"/>
          </w:tcPr>
          <w:p>
            <w:pPr>
              <w:pStyle w:val="TableContents"/>
              <w:bidi w:val="0"/>
              <w:spacing w:before="0" w:after="283"/>
              <w:jc w:val="left"/>
              <w:rPr/>
            </w:pPr>
            <w:r>
              <w:rPr/>
              <w:t>●</w:t>
            </w:r>
          </w:p>
        </w:tc>
        <w:tc>
          <w:tcPr>
            <w:tcW w:w="5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and sources and uses of cash;</w:t>
            </w:r>
          </w:p>
        </w:tc>
      </w:tr>
    </w:tbl>
    <w:tbl>
      <w:tblPr>
        <w:tblW w:w="4142" w:type="dxa"/>
        <w:jc w:val="left"/>
        <w:tblInd w:w="0" w:type="dxa"/>
        <w:tblLayout w:type="fixed"/>
        <w:tblCellMar>
          <w:top w:w="0" w:type="dxa"/>
          <w:left w:w="0" w:type="dxa"/>
          <w:bottom w:w="0" w:type="dxa"/>
          <w:right w:w="0" w:type="dxa"/>
        </w:tblCellMar>
      </w:tblPr>
      <w:tblGrid>
        <w:gridCol w:w="271"/>
        <w:gridCol w:w="3871"/>
      </w:tblGrid>
      <w:tr>
        <w:trPr/>
        <w:tc>
          <w:tcPr>
            <w:tcW w:w="271" w:type="dxa"/>
            <w:tcBorders/>
            <w:vAlign w:val="center"/>
          </w:tcPr>
          <w:p>
            <w:pPr>
              <w:pStyle w:val="TableContents"/>
              <w:bidi w:val="0"/>
              <w:spacing w:before="0" w:after="283"/>
              <w:jc w:val="left"/>
              <w:rPr/>
            </w:pPr>
            <w:r>
              <w:rPr/>
              <w:t>●</w:t>
            </w:r>
          </w:p>
        </w:tc>
        <w:tc>
          <w:tcPr>
            <w:tcW w:w="3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personnel;</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the proprietary information of customers and networks against security breaches and protect and enforce intellectual property rights;</w:t>
            </w:r>
          </w:p>
        </w:tc>
      </w:tr>
    </w:tbl>
    <w:tbl>
      <w:tblPr>
        <w:tblW w:w="2717" w:type="dxa"/>
        <w:jc w:val="left"/>
        <w:tblInd w:w="0" w:type="dxa"/>
        <w:tblLayout w:type="fixed"/>
        <w:tblCellMar>
          <w:top w:w="0" w:type="dxa"/>
          <w:left w:w="0" w:type="dxa"/>
          <w:bottom w:w="0" w:type="dxa"/>
          <w:right w:w="0" w:type="dxa"/>
        </w:tblCellMar>
      </w:tblPr>
      <w:tblGrid>
        <w:gridCol w:w="271"/>
        <w:gridCol w:w="2446"/>
      </w:tblGrid>
      <w:tr>
        <w:trPr/>
        <w:tc>
          <w:tcPr>
            <w:tcW w:w="271" w:type="dxa"/>
            <w:tcBorders/>
            <w:vAlign w:val="center"/>
          </w:tcPr>
          <w:p>
            <w:pPr>
              <w:pStyle w:val="TableContents"/>
              <w:bidi w:val="0"/>
              <w:spacing w:before="0" w:after="283"/>
              <w:jc w:val="left"/>
              <w:rPr/>
            </w:pPr>
            <w:r>
              <w:rPr/>
              <w:t>●</w:t>
            </w:r>
          </w:p>
        </w:tc>
        <w:tc>
          <w:tcPr>
            <w:tcW w:w="2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an increase in government regulation of the industries and markets in which we operate could negatively impact our business;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defending, settling and remediating issues related to regulatory matters or legal proceedings, including civil monetary penalties or actual costs of reimbursing customers for losses in excess of our reserves or insurance;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uncertainty and capital markets disruption, which has been significantly impacted by geopolitical instability, could harm our financial condition and results of operations.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Volatile or recessionary conditions in the United States or abroad could adversely affect our business and/or our access to capital markets in a material manner.</w:t>
            </w:r>
          </w:p>
        </w:tc>
      </w:tr>
    </w:tbl>
    <w:tbl>
      <w:tblPr>
        <w:tblW w:w="5162" w:type="dxa"/>
        <w:jc w:val="left"/>
        <w:tblInd w:w="0" w:type="dxa"/>
        <w:tblLayout w:type="fixed"/>
        <w:tblCellMar>
          <w:top w:w="0" w:type="dxa"/>
          <w:left w:w="0" w:type="dxa"/>
          <w:bottom w:w="0" w:type="dxa"/>
          <w:right w:w="0" w:type="dxa"/>
        </w:tblCellMar>
      </w:tblPr>
      <w:tblGrid>
        <w:gridCol w:w="271"/>
        <w:gridCol w:w="4891"/>
      </w:tblGrid>
      <w:tr>
        <w:trPr/>
        <w:tc>
          <w:tcPr>
            <w:tcW w:w="271" w:type="dxa"/>
            <w:tcBorders/>
            <w:vAlign w:val="center"/>
          </w:tcPr>
          <w:p>
            <w:pPr>
              <w:pStyle w:val="TableContents"/>
              <w:bidi w:val="0"/>
              <w:spacing w:before="0" w:after="283"/>
              <w:jc w:val="left"/>
              <w:rPr/>
            </w:pPr>
            <w:r>
              <w:rPr/>
              <w:t>●</w:t>
            </w:r>
          </w:p>
        </w:tc>
        <w:tc>
          <w:tcPr>
            <w:tcW w:w="4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market price of our securities may decline;</w:t>
            </w:r>
          </w:p>
        </w:tc>
      </w:tr>
    </w:tbl>
    <w:tbl>
      <w:tblPr>
        <w:tblW w:w="4232" w:type="dxa"/>
        <w:jc w:val="left"/>
        <w:tblInd w:w="0" w:type="dxa"/>
        <w:tblLayout w:type="fixed"/>
        <w:tblCellMar>
          <w:top w:w="0" w:type="dxa"/>
          <w:left w:w="0" w:type="dxa"/>
          <w:bottom w:w="0" w:type="dxa"/>
          <w:right w:w="0" w:type="dxa"/>
        </w:tblCellMar>
      </w:tblPr>
      <w:tblGrid>
        <w:gridCol w:w="271"/>
        <w:gridCol w:w="3961"/>
      </w:tblGrid>
      <w:tr>
        <w:trPr/>
        <w:tc>
          <w:tcPr>
            <w:tcW w:w="271" w:type="dxa"/>
            <w:tcBorders/>
            <w:vAlign w:val="center"/>
          </w:tcPr>
          <w:p>
            <w:pPr>
              <w:pStyle w:val="TableContents"/>
              <w:bidi w:val="0"/>
              <w:spacing w:before="0" w:after="283"/>
              <w:jc w:val="left"/>
              <w:rPr/>
            </w:pPr>
            <w:r>
              <w:rPr/>
              <w:t>●</w:t>
            </w:r>
          </w:p>
        </w:tc>
        <w:tc>
          <w:tcPr>
            <w:tcW w:w="3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and</w:t>
            </w:r>
          </w:p>
        </w:tc>
      </w:tr>
    </w:tbl>
    <w:tbl>
      <w:tblPr>
        <w:tblW w:w="8402" w:type="dxa"/>
        <w:jc w:val="left"/>
        <w:tblInd w:w="0" w:type="dxa"/>
        <w:tblLayout w:type="fixed"/>
        <w:tblCellMar>
          <w:top w:w="0" w:type="dxa"/>
          <w:left w:w="0" w:type="dxa"/>
          <w:bottom w:w="0" w:type="dxa"/>
          <w:right w:w="0" w:type="dxa"/>
        </w:tblCellMar>
      </w:tblPr>
      <w:tblGrid>
        <w:gridCol w:w="271"/>
        <w:gridCol w:w="8131"/>
      </w:tblGrid>
      <w:tr>
        <w:trPr/>
        <w:tc>
          <w:tcPr>
            <w:tcW w:w="271" w:type="dxa"/>
            <w:tcBorders/>
            <w:vAlign w:val="center"/>
          </w:tcPr>
          <w:p>
            <w:pPr>
              <w:pStyle w:val="TableContents"/>
              <w:bidi w:val="0"/>
              <w:spacing w:before="0" w:after="283"/>
              <w:jc w:val="left"/>
              <w:rPr/>
            </w:pPr>
            <w:r>
              <w:rPr/>
              <w:t>●</w:t>
            </w:r>
          </w:p>
        </w:tc>
        <w:tc>
          <w:tcPr>
            <w:tcW w:w="8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be adversely affected by other economic, business, and/or competitive factors.</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forward-looking statements reflect the Company’s good faith belief, they are not guarantees of future performance. For a further discussion of these and other factors that could cause the Company’s future results, performance or transactions to differ significantly from those expressed in any forward-looking statement, please see the section titled “</w:t>
      </w:r>
      <w:r>
        <w:rPr>
          <w:rFonts w:ascii="Times New Roman;Times;serif" w:hAnsi="Times New Roman;Times;serif"/>
          <w:i/>
          <w:sz w:val="20"/>
        </w:rPr>
        <w:t>Item 1A. Risk Factors</w:t>
      </w:r>
      <w:r>
        <w:rPr>
          <w:rFonts w:ascii="Times New Roman;Times;serif" w:hAnsi="Times New Roman;Times;serif"/>
          <w:sz w:val="20"/>
        </w:rPr>
        <w:t>” in this Annual Report. You should not place undue reliance on any forward-looking statements, which are based only on information currently available to the Company (or to third parties making the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forward-looking statements contained in this Annual Report are based on current expectations and beliefs concerning future developments and their potential effects on the Company. 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in this Annual Report in the section titled “</w:t>
      </w:r>
      <w:r>
        <w:rPr>
          <w:rFonts w:ascii="Times New Roman;Times;serif" w:hAnsi="Times New Roman;Times;serif"/>
          <w:i/>
          <w:sz w:val="20"/>
        </w:rPr>
        <w:t>Item 1A. Risk Factors</w:t>
      </w:r>
      <w:r>
        <w:rPr>
          <w:rFonts w:ascii="Times New Roman;Times;serif" w:hAnsi="Times New Roman;Times;serif"/>
          <w:sz w:val="20"/>
        </w:rPr>
        <w:t>.” Should one or more of these risks or uncertainties materialize, or should any of the Company’s assumptions prove incorrect, actual results may vary in material respects from those projected in these forward-looking statements. Accordingly, forward-looking statements in this Annual Report should not be relied upon as representing the Company’s views as of any subsequent date, and the Company undertakes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PARTI_216544"/>
      <w:bookmarkStart w:id="30" w:name="_21f35bf2_790b_47c2_8afa_fe6172e52aa1"/>
      <w:bookmarkEnd w:id="29"/>
      <w:bookmarkEnd w:id="30"/>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31" w:name="ITEM1BUSINESS_740681"/>
      <w:bookmarkEnd w:id="31"/>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Binah Capital Group, Inc. is a Delaware corporation with its corporate headquarters located at 80 State Street, Albany, NY 12207, telephone number (212) 404-7002, Internet website address www.binahcap.com. Our Internet website and content contained therein or connected thereto are not intended to incorporate into this Annual Report. References to “Binah,” the “Company,” “we,” “our” and “us” and similar terms mean Binah Capital Group, Inc. and its subsidiaries following the completion of the Business Combination (as defined below), unless the context otherwise requires.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“Closing Date”), the Company consummated the transactions contemplated by that certain Agreement and Plan of Merger, dated July 7, 2022 (as amended, the “Business Combination Agreement” and the consummation of such contemplated transactions, the “Closing”), by and among Kingswood Acquisition Corp, a Delaware corporation (“KWAC”), the Company, Kingswood Merger Sub, Inc., a Delaware corporation (“Kingswood Merger Sub”), Wentworth Merger Sub, LLC, a Delaware limited liability company (“Wentworth Merger Sub”), and Wentworth Management Services LLC, a Delaware limited liability company (“Wentworth”). Pursuant to the Business Combination Agreement, on the Closing Date, Kingswood Merger Sub merged with and into KWAC (the “Kingswood Merger”), with KWAC surviving the Kingswood Merger as a wholly-owned subsidiary of the Company (the “Kingswood Surviving Company”). Simultaneously with the Kingswood Merger, Wentworth Merger Sub merged with and into Wentworth (the “Wentworth Merger”), with Wentworth surviving the Wentworth Merger as a wholly-owned subsidiary of the Company (the “Surviving Company”). Following the Wentworth Merger, Kingswood Surviving Company acquired, and the Company contributed to Kingswood Surviving Company all of the common units of the Surviving Company directly held by the Company after the Wentworth Merger (the “Holdings Contribution”), such that, following the Holdings Contribution, Surviving Company became a wholly-owned subsidiary of the Kingswood Surviving Company (the Kingswood Merger and the Wentworth Merger, together with the other transactions contemplated by the Merger Agreement,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2024, KWAC’s name was changed to Binah Capital Corp. (“Binah”) and Wentworth began to operate under a dba Binah Management Services (“BMS”). The names Binah and BMS will be used throughout.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 leading platform provider for retail wealth management businesses that owns and operates ten entities, four of which are broker-dealers, three of which are registered investment advisors, and three of which are insurance entities, that have over 1,600 registered individuals working within the financial services industries.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it will be a natural destination for financial advisors and assets in motion by strategically positioning itself as the hybrid broker-dealer of choice, with top clearing and custodial relationships and strategic partnerships. With a track record of building a platform capable of significant scale along with strategic initiatives to drive its growth via access to public capital, Binah’s features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national wealth management platform supporting more than 1,600 individuals working within the financial services industries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Tech-enabled capabilities that allows for seamless integration and provides advisors with end-to-end services enhancing efficiency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 architecture that offers access to an array of solutions for advisors and their clients via expanded product offerings and shared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highly attractive financial model that is expected to experience organic growth, highly recurring revenues and expanding margins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of our independent advisory and brokerage firms provides full support services to its financial advisors, including access to stock, bond, exchange-traded fund (“</w:t>
      </w:r>
      <w:r>
        <w:rPr>
          <w:rFonts w:ascii="Times New Roman;Times;serif" w:hAnsi="Times New Roman;Times;serif"/>
          <w:b/>
          <w:i/>
          <w:sz w:val="20"/>
        </w:rPr>
        <w:t>ETF</w:t>
      </w:r>
      <w:r>
        <w:rPr>
          <w:rFonts w:ascii="Times New Roman;Times;serif" w:hAnsi="Times New Roman;Times;serif"/>
          <w:sz w:val="20"/>
        </w:rPr>
        <w:t>”) and options execution; products such as insurance, mutual funds, alternative investments such as non-traded real estate investment trusts, unit trusts and fixed and variable annuities; and research, compliance, supervision, accounting and related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independent advisory and brokerage firms offer various accounts, some of which are managed by our financial advisors, and others that are managed by third parties. The advisor managed accounts offer various account structures, including fee-based and “wrap fee” accounts. For financial advisors who prefer not to act as portfolio managers, third-party management options are available. These options employ managers who select diversified, fee-based asset management investment portfolios based on a client’s needs and risk profile. The types of portfolios may include separately managed portfolios, multi-managed accounts, and mutual fund and ETF model portfolios. These portfolios may also include portfolio analytics, performance reporting and position-specific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Structure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Founded in March 2016 as a limited liability company under the Delaware Limited Liability Company Act, BMS, through four wholly-owned registered broker dealer subsidiaries and their affiliated entities, provides investment management services to clients via three advisor business models: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Hybrid Business Model: The Purshe Kaplan Sterling Entities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PKS Holdings, LLC (“</w:t>
      </w:r>
      <w:r>
        <w:rPr>
          <w:rFonts w:ascii="Times New Roman;Times;serif" w:hAnsi="Times New Roman;Times;serif"/>
          <w:b/>
          <w:i/>
          <w:sz w:val="20"/>
        </w:rPr>
        <w:t>PKSH</w:t>
      </w:r>
      <w:r>
        <w:rPr>
          <w:rFonts w:ascii="Times New Roman;Times;serif" w:hAnsi="Times New Roman;Times;serif"/>
          <w:sz w:val="20"/>
        </w:rPr>
        <w:t>”) is headquartered in Albany, New York with branch offices throughout the United States of America, more than 1,300 registered individuals working within the financial services industries, and includes the following entities (the “</w:t>
      </w:r>
      <w:r>
        <w:rPr>
          <w:rFonts w:ascii="Times New Roman;Times;serif" w:hAnsi="Times New Roman;Times;serif"/>
          <w:b/>
          <w:i/>
          <w:sz w:val="20"/>
        </w:rPr>
        <w:t>PKSH Entities</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Purshe Kaplan Sterling Investments, Inc. (“</w:t>
            </w:r>
            <w:r>
              <w:rPr>
                <w:rFonts w:ascii="Times New Roman;Times;serif" w:hAnsi="Times New Roman;Times;serif"/>
                <w:b/>
                <w:i/>
                <w:sz w:val="20"/>
              </w:rPr>
              <w:t>PKSI</w:t>
            </w:r>
            <w:r>
              <w:rPr>
                <w:caps w:val="false"/>
                <w:smallCaps w:val="false"/>
              </w:rPr>
              <w:t>”</w:t>
            </w:r>
            <w:r>
              <w:rPr>
                <w:rFonts w:ascii="Times New Roman;Times;serif" w:hAnsi="Times New Roman;Times;serif"/>
                <w:b w:val="false"/>
                <w:i w:val="false"/>
                <w:caps w:val="false"/>
                <w:smallCaps w:val="false"/>
                <w:sz w:val="20"/>
              </w:rPr>
              <w:t>), incorporated in the State of New York, is an independent broker-dealer registered with the Securities and Exchange Commission (“</w:t>
            </w:r>
            <w:r>
              <w:rPr>
                <w:rFonts w:ascii="Times New Roman;Times;serif" w:hAnsi="Times New Roman;Times;serif"/>
                <w:b/>
                <w:i/>
                <w:sz w:val="20"/>
              </w:rPr>
              <w:t>SEC</w:t>
            </w:r>
            <w:r>
              <w:rPr>
                <w:caps w:val="false"/>
                <w:smallCaps w:val="false"/>
              </w:rPr>
              <w:t>”</w:t>
            </w:r>
            <w:r>
              <w:rPr>
                <w:rFonts w:ascii="Times New Roman;Times;serif" w:hAnsi="Times New Roman;Times;serif"/>
                <w:b w:val="false"/>
                <w:i w:val="false"/>
                <w:caps w:val="false"/>
                <w:smallCaps w:val="false"/>
                <w:sz w:val="20"/>
              </w:rPr>
              <w:t>) and is a member of the Financial Industry Regulatory Authority (“</w:t>
            </w:r>
            <w:r>
              <w:rPr>
                <w:rFonts w:ascii="Times New Roman;Times;serif" w:hAnsi="Times New Roman;Times;serif"/>
                <w:b/>
                <w:i/>
                <w:sz w:val="20"/>
              </w:rPr>
              <w:t>FINRA</w:t>
            </w:r>
            <w:r>
              <w:rPr>
                <w:caps w:val="false"/>
                <w:smallCaps w:val="false"/>
              </w:rPr>
              <w:t>”</w:t>
            </w:r>
            <w:r>
              <w:rPr>
                <w:rFonts w:ascii="Times New Roman;Times;serif" w:hAnsi="Times New Roman;Times;serif"/>
                <w:b w:val="false"/>
                <w:i w:val="false"/>
                <w:caps w:val="false"/>
                <w:smallCaps w:val="false"/>
                <w:sz w:val="20"/>
              </w:rPr>
              <w:t>) and the Securities Investors Protection Corporation (“</w:t>
            </w:r>
            <w:r>
              <w:rPr>
                <w:rFonts w:ascii="Times New Roman;Times;serif" w:hAnsi="Times New Roman;Times;serif"/>
                <w:b/>
                <w:i/>
                <w:sz w:val="20"/>
              </w:rPr>
              <w:t>SIPC</w:t>
            </w:r>
            <w:r>
              <w:rPr>
                <w:caps w:val="false"/>
                <w:smallCaps w:val="false"/>
              </w:rPr>
              <w:t>”</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PKS Advisory Services, LLC (“</w:t>
            </w:r>
            <w:r>
              <w:rPr>
                <w:rFonts w:ascii="Times New Roman;Times;serif" w:hAnsi="Times New Roman;Times;serif"/>
                <w:b/>
                <w:i/>
                <w:sz w:val="20"/>
              </w:rPr>
              <w:t>PKSA</w:t>
            </w:r>
            <w:r>
              <w:rPr>
                <w:caps w:val="false"/>
                <w:smallCaps w:val="false"/>
              </w:rPr>
              <w:t>”</w:t>
            </w:r>
            <w:r>
              <w:rPr>
                <w:rFonts w:ascii="Times New Roman;Times;serif" w:hAnsi="Times New Roman;Times;serif"/>
                <w:b w:val="false"/>
                <w:i w:val="false"/>
                <w:caps w:val="false"/>
                <w:smallCaps w:val="false"/>
                <w:sz w:val="20"/>
              </w:rPr>
              <w:t>), a New York limited liability company, is an independent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PKS Financial Services, Inc. (dba, Binah Capital Insurance, “</w:t>
            </w:r>
            <w:r>
              <w:rPr>
                <w:rFonts w:ascii="Times New Roman;Times;serif" w:hAnsi="Times New Roman;Times;serif"/>
                <w:b/>
                <w:i/>
                <w:sz w:val="20"/>
              </w:rPr>
              <w:t>PKSF</w:t>
            </w:r>
            <w:r>
              <w:rPr>
                <w:caps w:val="false"/>
                <w:smallCaps w:val="false"/>
              </w:rPr>
              <w:t xml:space="preserve">” </w:t>
            </w:r>
            <w:r>
              <w:rPr>
                <w:rFonts w:ascii="Times New Roman;Times;serif" w:hAnsi="Times New Roman;Times;serif"/>
                <w:b w:val="false"/>
                <w:i w:val="false"/>
                <w:caps w:val="false"/>
                <w:smallCaps w:val="false"/>
                <w:sz w:val="20"/>
              </w:rPr>
              <w:t>or “</w:t>
            </w:r>
            <w:r>
              <w:rPr>
                <w:rFonts w:ascii="Times New Roman;Times;serif" w:hAnsi="Times New Roman;Times;serif"/>
                <w:b/>
                <w:i w:val="false"/>
                <w:caps w:val="false"/>
                <w:smallCaps w:val="false"/>
                <w:sz w:val="20"/>
              </w:rPr>
              <w:t>BCI</w:t>
            </w:r>
            <w:r>
              <w:rPr>
                <w:caps w:val="false"/>
                <w:smallCaps w:val="false"/>
              </w:rPr>
              <w:t>”</w:t>
            </w:r>
            <w:r>
              <w:rPr>
                <w:rFonts w:ascii="Times New Roman;Times;serif" w:hAnsi="Times New Roman;Times;serif"/>
                <w:b w:val="false"/>
                <w:i w:val="false"/>
                <w:caps w:val="false"/>
                <w:smallCaps w:val="false"/>
                <w:sz w:val="20"/>
              </w:rPr>
              <w:t>), incorporated in the State of New York,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Representatives Indemnity Company, Inc. (“</w:t>
            </w:r>
            <w:r>
              <w:rPr>
                <w:rFonts w:ascii="Times New Roman;Times;serif" w:hAnsi="Times New Roman;Times;serif"/>
                <w:b/>
                <w:i/>
                <w:sz w:val="20"/>
              </w:rPr>
              <w:t>Repco</w:t>
            </w:r>
            <w:r>
              <w:rPr>
                <w:caps w:val="false"/>
                <w:smallCaps w:val="false"/>
              </w:rPr>
              <w:t>”</w:t>
            </w:r>
            <w:r>
              <w:rPr>
                <w:rFonts w:ascii="Times New Roman;Times;serif" w:hAnsi="Times New Roman;Times;serif"/>
                <w:b w:val="false"/>
                <w:i w:val="false"/>
                <w:caps w:val="false"/>
                <w:smallCaps w:val="false"/>
                <w:sz w:val="20"/>
              </w:rPr>
              <w:t>), incorporated in the British Virgin Islands, holds a general business insurance license for the purpose of providing professional liability insurance coverage for affiliated BMS entities.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PKSI operates under a Hybrid Business Model, which allows our independent registered representatives to maintain registration with our broker-dealer in order to continue to offer commission-based products alongside their registration to an outside registered investment advisor to provide fee-based asset management services. The flexibility of the Hybrid Business Model allows investment advisors to keep their fee-based asset management advisory business while executing their more traditional commission-based business through our broker-dealer.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PKSI is one of the leaders in the Hybrid Business Model with over 500 different registered investment advisors that have advisors registered with PKSI. We are currently expanding the PKSI model into both World Equity Group and Cabot Lodge Securities to offer greater custody and clearing options to our advisors. Pursuant to the Hybrid Business Model, an independent financial advisor becomes affiliated with one of our independent brokerage firms. The independent financial advisor generally establishes his or her own office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is solely responsible for the payment of all expenses associated with the operation of the branch office (including rent, utilities, furniture, equipment, quotation systems, employee wages and benefits and general office supplies). A significant percentage of a branch’s commission-based revenues from securities brokerage transactions conducted through our brokerage firms accrue to the independent financial advisor. Because an independent financial advisor’s fee-based asset management advisory business is outside of our corporate registered investment advisor, they run and manage all aspects of their own registered investment advisor and collect all fees related to those services. This compares with a payout rate of approximately 30% to 50% to financial advisors working in a traditional wirehouse brokerage setting where the brokerage firm bears substantially all of the sales force costs, including providing employee benefits, office space, sales assistants, telephone service and supplies.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Hybrid Business Model permits our independent brokerage firm subsidiaries to expand their revenue base and retail distribution network of investment products and services without either the capital expenditures that would be required to open company-owned offices, or the additional administrative and other costs of hiring financial advisors as in-house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independent financial advisor must possess a sufficient level of business experience to enable the individual to independently operate his or her own office. These independent financial advisors have the ability to structure their own practices and to focus in different areas of the investment business, subject to supervisory procedures as well as compliance with all applicable regulatory requirements.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Independent Business Model: the Cabot Lodge Entities and the World Equity Group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Cabot Lodge Securities LLC (“</w:t>
      </w:r>
      <w:r>
        <w:rPr>
          <w:rFonts w:ascii="Times New Roman;Times;serif" w:hAnsi="Times New Roman;Times;serif"/>
          <w:b/>
          <w:i/>
          <w:sz w:val="20"/>
        </w:rPr>
        <w:t>CLS</w:t>
      </w:r>
      <w:r>
        <w:rPr>
          <w:rFonts w:ascii="Times New Roman;Times;serif" w:hAnsi="Times New Roman;Times;serif"/>
          <w:sz w:val="20"/>
        </w:rPr>
        <w:t>”) maintains offices and branch offices throughout the United States of America, more than 100 registered advisors, and includes the following entities (the “</w:t>
      </w:r>
      <w:r>
        <w:rPr>
          <w:rFonts w:ascii="Times New Roman;Times;serif" w:hAnsi="Times New Roman;Times;serif"/>
          <w:b/>
          <w:i/>
          <w:sz w:val="20"/>
        </w:rPr>
        <w:t>Cabot Entities</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CLS, a Delaware limited liability company, is a broker-dealer registered with the SEC and is a member of FINRA and SIPC.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CL Wealth Management LLC (“</w:t>
            </w:r>
            <w:r>
              <w:rPr>
                <w:rFonts w:ascii="Times New Roman;Times;serif" w:hAnsi="Times New Roman;Times;serif"/>
                <w:b/>
                <w:i/>
                <w:sz w:val="20"/>
              </w:rPr>
              <w:t>CLWM</w:t>
            </w:r>
            <w:r>
              <w:rPr>
                <w:caps w:val="false"/>
                <w:smallCaps w:val="false"/>
              </w:rPr>
              <w:t>”</w:t>
            </w:r>
            <w:r>
              <w:rPr>
                <w:rFonts w:ascii="Times New Roman;Times;serif" w:hAnsi="Times New Roman;Times;serif"/>
                <w:b w:val="false"/>
                <w:i w:val="false"/>
                <w:caps w:val="false"/>
                <w:smallCaps w:val="false"/>
                <w:sz w:val="20"/>
              </w:rPr>
              <w:t>), a Virginia limited liability company, is an investment advisory firm, registered with the SEC and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Wentworth Financial Partners LLC ( dba, Binah Financial Partners “</w:t>
            </w:r>
            <w:r>
              <w:rPr>
                <w:rFonts w:ascii="Times New Roman;Times;serif" w:hAnsi="Times New Roman;Times;serif"/>
                <w:b/>
                <w:i/>
                <w:sz w:val="20"/>
              </w:rPr>
              <w:t>WFP</w:t>
            </w:r>
            <w:r>
              <w:rPr>
                <w:caps w:val="false"/>
                <w:smallCaps w:val="false"/>
              </w:rPr>
              <w:t xml:space="preserve">” </w:t>
            </w:r>
            <w:r>
              <w:rPr>
                <w:rFonts w:ascii="Times New Roman;Times;serif" w:hAnsi="Times New Roman;Times;serif"/>
                <w:b w:val="false"/>
                <w:i w:val="false"/>
                <w:caps w:val="false"/>
                <w:smallCaps w:val="false"/>
                <w:sz w:val="20"/>
              </w:rPr>
              <w:t>or “</w:t>
            </w:r>
            <w:r>
              <w:rPr>
                <w:rFonts w:ascii="Times New Roman;Times;serif" w:hAnsi="Times New Roman;Times;serif"/>
                <w:b/>
                <w:i w:val="false"/>
                <w:caps w:val="false"/>
                <w:smallCaps w:val="false"/>
                <w:sz w:val="20"/>
              </w:rPr>
              <w:t>BFP</w:t>
            </w:r>
            <w:r>
              <w:rPr>
                <w:caps w:val="false"/>
                <w:smallCaps w:val="false"/>
              </w:rPr>
              <w:t>”</w:t>
            </w:r>
            <w:r>
              <w:rPr>
                <w:rFonts w:ascii="Times New Roman;Times;serif" w:hAnsi="Times New Roman;Times;serif"/>
                <w:b w:val="false"/>
                <w:i w:val="false"/>
                <w:caps w:val="false"/>
                <w:smallCaps w:val="false"/>
                <w:sz w:val="20"/>
              </w:rPr>
              <w:t>) (f/k/a CL General Agency), a Delaware limited liability company, is an insurance entity providing financial services to clients.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Cabot Entities and WEG operate primarily an Independent Business Model, which allows our independent broker-dealers to affiliate with our brokerage firms as independent contractors to offer commission-based products as well as fee-based asset management services to their client through our Registered Investment Advisors (“RIAs”). Pursuant to the Independent Business Model, an independent broker-dealer becomes affiliated with one of our independent brokerage firms as an independent contractor. The independent broker-dealer generally establishes his or her own office and is solely responsible for the payment of most of the expenses associated with the operation of the branch office (including rent, utilities, furniture, equipment, quotation systems, employee wages and benefits and general office supplies). A large percentage of a branch’s commission-based revenues from securities brokerage transactions conducted through our brokerage firms accrue to the independent broker-dealer, and a large percentage of the fee-based revenue for asset management services provided by our corporate RIAs accrue to the independent broker-dealer.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W2 Business Model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Hybrid Business Model, the PKSH Entities operate under a W2 Business Model, which allows our independent broker-dealers to affiliate with our brokerage firms as employees to offer commission-based products through our brokerage firms as well as fee-based asset management services through our RIAs. Pursuant to the W2 Business Model, the independent broker-dealer joins one of our established branch offices and BMS is responsible for the payment of substantially all of the expenses associated with the operation of the branch office (including rent, utilities, furniture, equipment, quotation systems, employee wages and benefits and general office supplies). The independent broker-dealer is a commission based on a smaller percentage of a branch’s commission-based revenues from securities brokerage transactions conducted through our brokerage firms, and the fee-based revenue for asset management services provided by our corporate RIAs.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wealth management industry is highly competitive. We compete for opportunities and the professionals in our network compete for clients, advisers and other personnel, with public and privately held investment advisers, traditional brokerage firms and wirehouses, firms associated with securities broker-dealers, financial institutions, private equity firms, asset managers and insurance companies, many of whom have greater resources than we do.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Many of our competitors have significantly greater financial, technical, marketing and other resources than we do. Also, many firms offer discount brokerage services and generally effect transactions at substantially lower commission rates on an “execution only” basis. Moreover, there is substantial commission discounting by full-service brokerage firms competing for institutional and retail brokerage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growing number of brokerage firms offer online trading and web-based financial services, usually with lower levels of service, which has further intensified the competition for retail brokerage customers. Our brokerage firm subsidiaries currently do not offer any online trading services to their customers, although they offer online account access so their customers can review their account balances and activity.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Competition also is increasing from other financial institutions, notably banking institutions, insurance companies and other organizations, which offer customers some of the same services and products presently provided by securities firms. We seek to compete through the quality of our financial advisors, our level of service, the products and services we offer and our expertise in certain areas.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grow our business and compete effectively we must be able to maintain our existing community and attract additional opportunities. Traditionally, we have competed on the basis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revenue through enhanced advisor recruitment efforts, expanded product offerings, strategic scale opportunities (M&amp;A)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margins through new product offerings on existing platforms, shared services, and improved operational efficiencies across our broker dealer network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organizational scale via lift-out acquisitions, consolidation of other firms onto our existing platform, expanded partner networks and improved brand recognition</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out our tech stack and scaling through additional technology products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Competitive Advantage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organizational structure differentiates us from our competitors. Our network enables highly qualified professionals to run their businesses efficiently and effectively through end-to-end resources and support, including:</w:t>
      </w:r>
    </w:p>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Clearing capabilities through major clearing and custodial firms</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maintain their identity and enhance their brand</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Flexibility to choose independent or corporate registered investment advisors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Knowledge and services sharing across the community</w:t>
            </w:r>
          </w:p>
        </w:tc>
      </w:tr>
    </w:tbl>
    <w:tbl>
      <w:tblPr>
        <w:tblW w:w="2211" w:type="dxa"/>
        <w:jc w:val="left"/>
        <w:tblInd w:w="0" w:type="dxa"/>
        <w:tblLayout w:type="fixed"/>
        <w:tblCellMar>
          <w:top w:w="28" w:type="dxa"/>
          <w:left w:w="28" w:type="dxa"/>
          <w:bottom w:w="28" w:type="dxa"/>
          <w:right w:w="28" w:type="dxa"/>
        </w:tblCellMar>
      </w:tblPr>
      <w:tblGrid>
        <w:gridCol w:w="124"/>
        <w:gridCol w:w="256"/>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Seamless integration</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relationships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Growth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advisors and assets under management continue to migrate from traditional wirehouse brokerage and commission-based platforms to hybrid and independent models, we believe we are well-positioned to expand our existing network and to grow through acquisitions.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Growth of Existing Network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seek to enhance the competitive position of the professionals in our network by connecting our members with the intellectual expertise, resources and value-added services of our network. The Company intends to grow by supporting its members’ growth through tactical, operational and strategic initiatives, as well as through the members’ own acquisitions.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Pipeline Acquisitions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continue to scale as firms consolidate into the BMS network and we add advisors via lift-out pipeline acquisitions. We leverage management’s existing relationships and experience to continue to identify and integrate partner and promote the BMS brand to the market.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Regulatory Environment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Most of the organizations and professionals in our network are subject to extensive regulation. Our broker-dealer subsidiaries are subject to regulation by the SEC and by FINRA. RIAs are subject to regulation by the SEC under the Advisers Act and by the U.S. Department of Labor (the “</w:t>
      </w:r>
      <w:r>
        <w:rPr>
          <w:rFonts w:ascii="Times New Roman;Times;serif" w:hAnsi="Times New Roman;Times;serif"/>
          <w:b/>
          <w:i/>
          <w:sz w:val="20"/>
        </w:rPr>
        <w:t>DOL</w:t>
      </w:r>
      <w:r>
        <w:rPr>
          <w:rFonts w:ascii="Times New Roman;Times;serif" w:hAnsi="Times New Roman;Times;serif"/>
          <w:sz w:val="20"/>
        </w:rPr>
        <w:t>”) under the Employee Retirement Income Security Act of 1974, as amended (“</w:t>
      </w:r>
      <w:r>
        <w:rPr>
          <w:rFonts w:ascii="Times New Roman;Times;serif" w:hAnsi="Times New Roman;Times;serif"/>
          <w:b/>
          <w:i/>
          <w:sz w:val="20"/>
        </w:rPr>
        <w:t>ERISA</w:t>
      </w:r>
      <w:r>
        <w:rPr>
          <w:rFonts w:ascii="Times New Roman;Times;serif" w:hAnsi="Times New Roman;Times;serif"/>
          <w:sz w:val="20"/>
        </w:rPr>
        <w:t>”). Several organizations may also be subject to regulation by state regulators for insurance and other aspects of their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Registered investment advisors are subject to numerous obligations, including fiduciary duties, compliance and disclosure obligations, recordkeeping requirements and operational requirements. Certain of our organizations sponsor unregistered and registered funds in the United States. These activities subject those firms to additional regulatory requirements in those jurisdictions. In addition, many state securities commissions impose filing requirements on investment advisers that operate or have places of business in their states. Similarly, many states require certain client facing employees of RIAs and FINRA-registered broker-dealers to become state licensed.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Broker-dealers and their personnel are regulated, to a large extent, by the SEC and self-regulatory organizations, principally FINRA. In addition, state regulators have supervisory authority over broker-dealer activities conducted in their states. Broker-dealers are subject to regulations which cover virtually all aspects of their business, including sales practices, trading practices, use and safekeeping of clients’ funds and securities, recordkeeping and the conduct of directors, officers, employees and representatives. Broker-dealers are also subject to net capital rules that mandate that they maintain certain levels of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organizations have licensed insurance affiliates. State insurance laws grant state insurance regulators broad administrative powers. These supervisory agencies regulate many aspects of the insurance business, including the licensing of insurance brokers and agents and other insurance intermediaries, and trade practices such as marketing, advertising and compensation arrangements entered into by insurance brokers and agents.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organizations are also subject to regulation by the DOL under ERISA and related regulations with respect to investment advisory and management services provided to participants in retirement plans covered by ERISA and subject to regulation by the Internal Revenue Service (“</w:t>
      </w:r>
      <w:r>
        <w:rPr>
          <w:rFonts w:ascii="Times New Roman;Times;serif" w:hAnsi="Times New Roman;Times;serif"/>
          <w:b/>
          <w:i/>
          <w:sz w:val="20"/>
        </w:rPr>
        <w:t>IRS</w:t>
      </w:r>
      <w:r>
        <w:rPr>
          <w:rFonts w:ascii="Times New Roman;Times;serif" w:hAnsi="Times New Roman;Times;serif"/>
          <w:sz w:val="20"/>
        </w:rPr>
        <w:t>”) with respect to individual retirement accounts (“</w:t>
      </w:r>
      <w:r>
        <w:rPr>
          <w:rFonts w:ascii="Times New Roman;Times;serif" w:hAnsi="Times New Roman;Times;serif"/>
          <w:b/>
          <w:i/>
          <w:sz w:val="20"/>
        </w:rPr>
        <w:t>IRAs</w:t>
      </w:r>
      <w:r>
        <w:rPr>
          <w:rFonts w:ascii="Times New Roman;Times;serif" w:hAnsi="Times New Roman;Times;serif"/>
          <w:sz w:val="20"/>
        </w:rPr>
        <w:t>”) pursuant to comparable provisions within the Internal Revenue Code (“</w:t>
      </w:r>
      <w:r>
        <w:rPr>
          <w:rFonts w:ascii="Times New Roman;Times;serif" w:hAnsi="Times New Roman;Times;serif"/>
          <w:b/>
          <w:i/>
          <w:sz w:val="20"/>
        </w:rPr>
        <w:t>IRC</w:t>
      </w:r>
      <w:r>
        <w:rPr>
          <w:rFonts w:ascii="Times New Roman;Times;serif" w:hAnsi="Times New Roman;Times;serif"/>
          <w:sz w:val="20"/>
        </w:rPr>
        <w:t>”). Among other requirements, ERISA and the IRC imposes duties on persons who are fiduciaries under ERISA and the IRC, respectively, and prohibit certain transactions involving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we and our organizations are subject to various state, federal data privacy and cybersecurity laws designed to protect client and employee personally identifiable information. These laws and regulations are increasing in complexity and number, which has resulted in greater compliance risk and cost for us. The unauthorized access, use, theft or destruction of client or employee personal, financial or other data could expose us to potential financial penalties and legal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2025, the Company’s workforce was comprised of approximately 150 employees and substantially all employees are salaried. A significant portion of our workforce is comprised of compliance, operations, finance and other administrative personnel. None of our employees are represented by a labor union. Effective January 1, 2025, BMS entered into Management Services Agreement’s (“MSA”) with its operating subsidiaries whereby BMS will provide personnel and payroll management services to the Company. In accordance with the MSA, expenses related to payroll and benefits are allocated to the operating subsidiaries. The allocation of the compensation and benefits is based upon the specific personnel assigned to the operating subsidiaries as well as other personnel providing services to the operating subsidiaries. The allocation methodology includes a direct allocation for personnel assigned to the respective operating subsidiaries and additional allocation for certain personnel based upon various factors including job responsibilities and estimated amount of time associated with each operating subsidiary.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desire to offer a competitive total compensation offering to our employees that includes not only compensation but benefits and other programs. Our compensation is performance based and competitive based upon the geographies in which we operate. We strive to provide equality of pay to ensure are compensation programs are fair and equitable across the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offer an array of benefits intended to meet the needs of our employees and their eligible dependents. We offer comprehensive benefits to all full-time employees and part-time employees working at least 30 hours per week. Our health and welfare benefits include, among other things: medical coverage; dental and vision coverage; healthcare and dependent-care flexible spending accounts; Health Savings Accounts; accident and critical illness coverage; life and accidental death and dismemberment insurance; and short-term and long-term disability insurance.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company focused on growth, talent drives the success of the Company. We are focused on attracting and retaining our employees. To attract a diverse pool of talent, we are in the marketplace and utilize various methods of recruiting to provide for a diverse and dedicated group of employees. The Company’s senior executives receive a portion of their total compensation in Company equity and subject to a cap, we match the contribution of all our employees to our retirement savings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annual reports on Form 10-K, quarterly reports on Form 10-Q, current reports on Form 8-K and amendments to those reports filed or furnished pursuant to Section 13(a) or 15(d) of the Securities Exchange Act of 1934, as well as proxy and information statements and other information that we file, are available free of charge through our Internet website as soon as reasonably practicable after we electronically file such material with, or furnish such material to, the SEC. Our Internet website and the content contained therein or connected thereto are not intended to be incorporated into this Annual Report on Form 10-K. The SEC maintains an Internet website at www.sec.gov, which also contains reports, proxy and information statements and other information that we file electronically with the SEC. We routinely post important information on our website, www.binahcap.com. We also may use our website as a means of disclosing material, non-public information and for complying with our disclosure obligations under Regulation FD. Accordingly, investors should monitor our website, in addition to following our press releases, SEC filings, public conference calls, presentations and webcasts. The information contained on, or that may be accessed through, our website is not incorporated by reference into, and is not a part of, this document.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Copies of the Company’s Annual Report on Form 10-K for the year ended December 31, 2025 may also be obtained by stockholders without charge upon written request to: Binah Capital Group Inc., 80 State Street, Albany, NY 12207, ATTN: Investor Relations.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ITEM1ARISKFACTORS_770626"/>
      <w:bookmarkStart w:id="33" w:name="_418c905f_7e74_4fd2_97ba_820cdce89fa2"/>
      <w:bookmarkEnd w:id="32"/>
      <w:bookmarkEnd w:id="33"/>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Factor Summary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business is subject to risks and uncertainties, including those risks and uncertainties discussed at-length below, that could cause our actual results to differ materially from those projected. These risks and uncertainties include, but are not limited to, the following: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and Industry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Advisors are generally not direct employees, creating supervisory and compliance oversight difficulties in a decentralized operating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 to detect and deter advisor misconduct including unsuitable recommendations, fraud, unauthorized trading, and misuse of confidential information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performance of recommended products or competitive pricing pressures could lead to client attrition and revenue loss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relatively new market entrant, maintaining brand awareness and reputation is critical; negative publicity could diminish customer confidence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profitability directly affected by securities market performance, trading volumes, geopolitical tensions , and economic downturns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require additional capital to support growth; future financing may not be available on acceptable terms and could result in shareholder dilution or restrictive covenants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depends on retaining senior management, technical employees, and highly skilled personnel in a competitive labor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customer complaints, regulatory investigations, and litigation that could result in significant damages, operational changes, and reputational harm</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Regulatory and Compliance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 subsidiaries subject to extensive regulation, periodic examinations, and potential sanctions including fines, censure, or suspension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must maintain minimum net capital levels; failure could result in activity limitations, suspension, or liquidation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third-party clearing brokers for transaction processing; termination of clearing agreements could disrupt business operations</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or regulatory changes could reclassify advisors as employees, significantly increasing operating costs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be subject to Truth-in-Lending Act and similar laws; non-compliance could result in fines and sanctions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tax laws, regulations, or interpretations could materially affect financial condition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the Foreign Corrupt Practices Act (“FCPA”), USA PATRIOT Act, and similar laws could result in severe penalties, suspension, or debarment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Data Privacy and Cybersecurity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incidents could expose confidential customer information, resulting in regulatory investigations, fines, litigation, and reputational damage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CCPA and numerous other data privacy laws; non-compliance could result in fines, penalties, and private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and systems may contain errors, bugs, or vulnerabilities subject to cyber attacks, malware, ransomware, or denial-of-service attacks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scrape or misappropriate data through website scraping, robots, or copycat websites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failures, performance issues, or availability problems could harm reputation, impair operations, and result in customer loss</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may limit expansion, implementation, or require disclosure of proprietary technology to competitors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Public Company and Securities Market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and warrants may fluctuate significantly based on operating performance, analyst reports, sales by insiders, market conditions, and other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limited experience managing a public company, which could divert attention from day-to-day operations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analyst coverage or negative analyst reports could adversely impact stock price and trading volume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public company subjects us to additional laws, regulations, and listing standards, imposing significant costs and diverting management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and we cannot be certain of the reduced disclosure requirements applicable to smaller reporting companies will make our common stock less attractive to investors.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Several risks are inherent in the independent broker-dealer business model.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Compared to wirehouses and other employee models, our advisors are not typically our direct employees. We generally offer advisors wider choice in operating their businesses with regard to product offerings, outside business activities, office technology and supervisory models. Our approach may make it more challenging for us to comply with our supervisory and regulatory compliance obligations, particularly in light of our de-centralized operations and the complexity of certain advisor business models.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Misconduct and errors by our advisors could be difficult for us to detect and could result in violations of law by us, regulatory sanctions, or serious reputational or financial harm. Although we have designed policies and procedures to comply with applicable laws, rules, regulations and interpretations, we cannot always prevent or detect misconduct and errors by our advisors, and the precautions we take to prevent and detect these activities may not be effective in all cases. Prevention and detection among our advisors, who are typically not our direct employees and some of whom tend to be located in small, decentralized offices, present additional challenges, particularly in the case of complex products or supervision of outside business activities. We also cannot assure that misconduct or errors by our employees or advisors will not lead to a material adverse effect on our business, or that our errors and omissions insurance will be sufficient to cover such misconduct or errors.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Misconduct by our advisors, who operate in a decentralized environment, is difficult to detect and deter and could harm our business, reputation, results of operations or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though our advisors are typically not our direct employees, we may be held liable for their misconduct that results in violations of law, regulatory sanctions and/or serious reputational or financial harm. Misconduct could include:</w:t>
      </w:r>
    </w:p>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transactions that are not suitable for the client or in the client’s best interests;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in fraudulent or otherwise improper activity;</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binding us to transactions that exceed authorized limits;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hiding unauthorized or unsuccessful activities, resulting in unknown and unmanaged risks or losses;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improperly using or disclosing confidential information;</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whether negligent or intentional, to effect securities transactions on behalf of clients;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perform reasonable diligence on a security, product or strategy;</w:t>
            </w:r>
          </w:p>
        </w:tc>
      </w:tr>
    </w:tbl>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supervise a financial advisor;</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provide insurance carriers with complete and accurate information;</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in unauthorized or excessive trading to the detriment of clients;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in improper transactions with clients; or</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not complying with laws or our control procedures.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cannot always deter misconduct by our advisors, and the precautions we take to prevent and detect this activity may not be effective in all cases. Also, our failure to properly investigate new and existing advisors may subject us to additional risks and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Poor performance of the investment products and services recommended or sold to our clients or competitive pressures on pricing of such products and services may have a material adverse effect on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advisors’ clients control their assets maintained with us. These clients can terminate their relationships, reduce the aggregate amount of assets under management or shift their funds to other types of accounts with different rate structures for any number of reasons, including investment performance, changes in prevailing interest rates, financial market performance, competitive pricing and personal client liquidity needs. Poor performance of the investment products and services recommended or sold to such clients relative to the performance of other products available in the market or the performance of other investment management firms tends to result in the loss of accounts. Competitive pricing, including from robo-advisors and higher deposit rates on cash deposits, could adversely impact our business. The decrease in revenue that could result from such an event could have a material adverse effect on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Maintaining and enhancing our brand and reputation is critical to our growth, and if we are unable to maintain and enhance our brand, our business, results of operations and financial condition could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Several competitors have brands that are well recognized. As a relatively new entrant into the digital market, we spend considerable capital to create brand awareness and build our reputation. We may not be able to build brand awareness, and our efforts at building, maintaining, and enhancing our reputation could fail. Complaints or negative publicity about our business practices, our marketing and advertising campaigns, our compliance with applicable laws and regulations, the integrity of the data that we provide to consumers, data privacy and security issues, and other aspects of our business, whether valid or not, could diminish confidence in our brand, which could adversely affect our reputation and business. As we expand our product offerings and enter new markets, we need to establish our reputation with new customers, and to the extent we are not successful in creating positive impressions, our business in these newer markets could be adversely affected. There can be no assurance that we will be able to maintain or enhance our reputation, and failure to do so could materially adversely affect our business, results of operations and financial condition. If we are unable to maintain or enhance consumer awareness of our brand cost-effectively, our business, results of operations and financial condition could be materially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subsidiaries are broker-dealers registered with the SEC and members of FINRA, and therefore are subject to extensive regulation and scrutiny.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our subsidiaries facilitate transactions in shares and fractionalized shares of publicly-traded stock and exchange-traded funds through a third-party clearing and carrying brokers. Our subsidiaries are registered with the SEC as broker-dealers under the Exchange Act and are members of FINRA. Therefore, our subsidiaries are subject to regulation, examination, and supervision by the SEC, FINRA, and state securities regulators. The regulations applicable to broker-dealers cover all aspects of the securities business, including sales practices, use and safekeeping of clients’ funds and securities, capital adequacy, record-keeping, and the conduct and qualification of officers, employees, and independent contractors. As part of the regulatory process, broker-dealers are subject to periodic examinations by their regulators, the purpose of which is to determine compliance with securities laws and regulations, and from time to time may be subject to additional routine and for-cause examinations. It is not uncommon for regulators to assert, upon completion of an examination, that the broker-dealer being examined has violated certain of these rules and regulations. Depending on the nature and extent of the violations, the broker-dealer may be required to pay a fine and/or be subject to other forms of disciplinary and corrective action. Additionally, the adverse publicity arising from the imposition of sanctions could harm our reputation and cause us to lose existing customers or fail to gain new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 FINRA, and state securities regulators have the authority to bring administrative or judicial proceedings against broker-dealers, whether arising out of examinations or otherwise, for violations of state and federal securities laws. Administrative sanctions can include cease-and-desist orders, censure, fines, and disgorgement and may even result in the suspension or expulsion of the firm from the securities industry. Similar sanctions may be imposed upon officers, directors, representatives, and employees.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subsidiaries have adopted, and regularly review and update, various policies, controls, and procedures designed for compliance with their regulatory obligations. However, appropriately addressing our subsidiaries regulatory obligations is complex and difficult and our reputation could be damaged if we fail, or appear to fail, to appropriately address them. Failure to adhere to these policies and procedures may also result in regulatory sanctions or litigation against us. Our subsidiaries also rely on various third parties to provide services, including managing and executing customer orders, and failure of these third parties to adequately perform these services may negatively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impact customer experience, product performance, and our reputation and may also result in regulatory sanctions or litigation against us or our subsidiaries.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any regulatory action or scrutiny, we or our subsidiaries could also be required to make changes to our business practices or compliance programs. In addition, any perceived or actual breach of compliance by our subsidiaries with respect to applicable laws, rules, and regulations could have a significant impact on our reputation, could cause us to lose existing customers, prevent us from obtaining new customers, require us to expend significant funds to remedy problems caused by breaches and to avert further breaches, and expose us to legal risk, including litigation against us, and potential liability.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subsidiaries are subject to net capital and other regulatory capital requirements; failure to comply with these rules could harm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subsidiaries are subject to the net capital requirements of the SEC and FINRA. These requirements typically specify the minimum level of net capital a broker-dealer must maintain and also mandate that a significant part of their assets be kept in relatively liquid form. Failure to maintain the required net capital may subject a firm to limitation of its activities, including suspension or revocation of its registration by the SEC and suspension or expulsion by FINRA, and ultimately may require its liquidation. Currently, our subsidiaries have relatively low net capital requirements, because they do not hold customer funds or securities, but instead facilitate the transmission and delivery of those funds. However, a change in the net capital rules, a change in how our subsidiaries handle or hold customer assets, or the imposition of new rules affecting the scope, coverage, calculation, or amount of net capital requirements could have adverse effects. Finally, our subsidiaries are subject to such net capital requirements, we may be required to inject additional capital into our subsidiaries from time to time and as such, we may have liability and/or our larger business may be affected by any of these outcomes.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It is possible that FINRA will require changes to our business practices based on the ownership of our subsidiaries, which could impose additional costs or disrupt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certain cases, FINRA has required unregistered affiliates of broker-dealers to comply with additional regulatory requirements, including, among others, handling all securities or other financial transactions through the affiliated broker-dealer or conforming all marketing and advertising materials to the requirements applicable to broker-dealers. We do not currently believe that these types of requirements apply to any aspect of our business other than the securities transactions facilitated through our subsidiaries. It is possible that, in the future, FINRA could require us to comply with additional regulations in the conduct of other activities (i.e., beyond the securities transactions made through our subsidiaries). If that were to occur, it could require significant changes to our business practices. These and other changes would impose significantly greater costs on us and disrupt existing practices in ways that could negatively affect our overarching business and profitability.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clearing brokers and the termination of our clearing agreements could disrupt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of our four broker-dealer subsidiaries depends on the operational capacity and ability of its clearing broker for the orderly processing of transactions. By engaging the processing services of a clearing firm, each of our broker-dealer subsidiaries is exempt from some capital reserve requirements and other regulatory requirements imposed by federal and state securities laws. If these clearing agreements were terminated for any reason, we would be forced to find alternative clearing arrangements and could have an impact on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cannot assure you that we would be able to find alternative clearing arrangements on acceptable terms to us or at all. Also, the loss of a clearing firm could hamper the ability of our subsidiaries to recruit and retain their respective independent financial advisors.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may be harmed by global events beyond our control, including overall slowdowns in securities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Like other brokerage and financial services firms, our business and profitability are directly affected by elements that are beyond our control, such as economic and political conditions, broad trends in business and finance, changes in volume of securities and futures transactions, changes in the markets in which such transactions occur and changes in how such transactions are processed. A weakness in securities markets, such as a slowdown causing reduction in trading volume in U.S. or foreign securities and derivatives, has historically resulted in reduced transaction revenues and would have a material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currently operating in a period of economic uncertainty and geopolitical instability. Our business, financial condition and results of operations could be materially adversely affected by any negative impact on the global economy and capital markets resulting from military conflicts or any other geopolitical tensions.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 and global markets are experiencing volatility and disruption following the escalation of geopolitical tensions in multiple regions of the world. Recently, international relations between the U.S. and Russia, certain Middle Eastern nations as well as certain other countries, has been strained, and they may continue to deteriorate further. Although the length and impact of the ongoing military conflicts are highly unpredictable, the conflicts could lead to market disruptions, including significant volatility in energy and other commodity prices, credit and capital markets, as well as supply chain interruptions. Additionally, these and any other military actions and any resulting sanctions could adversely affect the global economy and financial markets and lead to instability and lack of liquidity in capital markets.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require additional capital to grow our business, which may not be available on terms acceptable to us or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extent that our present capital is insufficient to meet future operating requirements or to cover losses, we may need to raise additional funds through financings or curtail our projected growth. Many factors will affect our capital needs as well as their amount and timing, including our growth and profitability, as well as market disruptions and other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we have funded our operations, marketing expenditures and capital expenditures primarily through earnings. We evaluate financing opportunities from time to time, and our ability to obtain financing will depend, among other things, on our development efforts, business plans and operating performance and the condition of the capital markets at the time we seek financing.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raise additional funds through the issuance of equity, equity-linked or debt securities, those securities may have rights, preferences, or privileges senior to those of common stock, and our existing stockholders may experience dilution. Any debt financing secured by us in the future could require that a substantial portion of our operating cash flow be devoted to the payment of interest and principal on such indebtedness, which may decrease available funds for other business activities, and could involve restrictive covenants relating to our capital-raising activities and other financial and operational matters, which may make it more difficult for us to obtain additional capital and to pursue business opportunities.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obtain adequate financing or financing on terms satisfactory to us, when we require it, our ability to continue to support our business growth, maintain minimum amounts of capital and to respond to business challenges could be significantly limited, and our business, results of operations and financial condition could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the experience and expertise of our senior management team, key technical employees, and other highly skilled personnel.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success depends upon the continued service of our senior management team, highly specialized experts, and key technical employees, as well as our ability to continue to attract and retain additional highly qualified personnel. Our future success depends on our continuing ability to identify, hire, develop, motivate, retain, and integrate highly skilled personnel for all areas of our organization. If we are unable to attract the requisite personnel, our business and prospects may be adversely affected. Our founder, executive officers, key technical personnel, and other employees could terminate his or her relationship with us at any time. The loss of our founder or any other member of our senior management team or key personnel may significantly delay or prevent the achievement of our strategic business objectives and could harm our business. Competition in our industry for qualified employees is intense. Our compensation arrangements, such as our equity award programs, may not always be successful in attracting new employees and retaining and motivating our existing employees. Moreover, if and when the stock options or other equity awards are substantially vested, employees under such equity arrangements may be more likely to leave, particularly when the underlying shares have seen a value appreciation.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Regulatory or Compliance Risks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Legislative, judicial, or regulatory changes to the classification of independent contractors could increase our operating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From time to time, various legislative or regulatory proposals are introduced at the federal or state levels to change the status of independent contractors’ classification to employees for either employment tax purposes (withholding, social security, Medicare and unemployment taxes) or other benefits available to employees. Most of our advisors are classified as independent contractors for all purposes, including employment tax and employee benefit purposes. We cannot assure you that legislative, judicial, or regulatory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(including tax) authorities will not introduce proposals or assert interpretations of existing rules and regulations that would change the employee/independent contractor classification of these firms’ financial advisors. The costs associated with potential changes, if any, to these independent contractor classifications could have a material adverse effect on us, including our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collect, process, store, share, disclose and use customer information and other data, and our actual or perceived failure to protect such information and data, respect customers’ privacy or comply with data privacy and security laws and regulations could damage our reputation and brand and harm our business and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Use of our technology involves the storage and transmission of information, including personal information, in relation to our staff, contractors, business partners and current, past, or potential customers. Security breaches, including by hackers or insiders, could expose confidential information, which could result in potential regulatory investigations, fines, penalties, compliance orders, liability, litigation, and remediation costs, as well as reputational harm, any of which could materially adversely affect our business and financial results. Further, outside parties may attempt to fraudulently induce employees or customers to disclose sensitive information in order to gain access to our information or customers’ information. Any of these incidents could result in an investigation by a competent regulator, resulting in a fine or penalty, or an order to implement specific compliance measures. It could also trigger claims by affected third parties. While we use encryption and authentication technology licensed from third parties designed to effect secure transmission of such information, we cannot guarantee the security of the transfer and storage of personal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or all of the issues above could adversely affect our ability to attract new customers or retain existing customers, or subject us to governmental or third-party lawsuits, investigations, regulatory fines or other actions or liability, resulting in a material adverse effect to our business, results of operations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numerous existing and proposed federal, state, and local laws in the United States and around the world regarding privacy and the collection, processing, storing, sharing, disclosing, using, cross-border transfer, and the protection of personal information and other data. The scope of these existing and proposed laws are changing, subject to differing interpretations, may be costly to comply with, and may be inconsistent between countries and jurisdictions or conflict with other rules. These laws include the California Consumer Privacy Act of 2018 (the “</w:t>
      </w:r>
      <w:r>
        <w:rPr>
          <w:rFonts w:ascii="Times New Roman;Times;serif" w:hAnsi="Times New Roman;Times;serif"/>
          <w:b/>
          <w:i/>
          <w:sz w:val="20"/>
        </w:rPr>
        <w:t>CCPA</w:t>
      </w:r>
      <w:r>
        <w:rPr>
          <w:rFonts w:ascii="Times New Roman;Times;serif" w:hAnsi="Times New Roman;Times;serif"/>
          <w:sz w:val="20"/>
        </w:rPr>
        <w:t>”),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civil penalties for violations, as well as a private right of action and statutory damages for data breaches that are expected to increase data breach litigation. The CCPA may increase our compliance costs and potential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failure or perceived failure to comply with these rules may result in regulatory fines or penalties including orders that require us to change the way we process data (including by way of our algorithms). In the event of a data breach, we are also subject to breach notification laws in the jurisdictions in which we operate, including U.S. state laws, and the risk of litigation and regulatory enforcement 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we are subject to the terms of our privacy policies and privacy-related obligations to third parties.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could include personally identifiable information or other user data, may result in governmental or regulatory investigations, enforcement actions, regulatory fines, compliance orders, litigation or public statements against us by consumer advocacy groups or others, and could cause customers to lose trust in us, all of which could be costly and have an adverse effect on our business. In addition, new and changed rules and regulations regarding privacy, data protection of customer information could cause us to delay planned uses and disclosures of data to comply with applicable privacy and data protection requirements. Moreover, if third parties that we work with violate applicable laws or our policies, such violations also may put personal information at risk, which may result in increased regulatory scrutiny and have a material adverse effect to our reputation, business,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Regulators may limit our ability to expand or implement and/or may eliminate or restrict the confidentiality of our proprietary technology, which could have a material adverse effect on our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future success depends on our ability to continue to expand and implement our proprietary product. Changes to existing regulations, their interpretation or implementation, or new regulations could impede our use of this technology or require that we disclose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proprietary technology to our competitors, which could impair our competitive position and result in a material adverse effect on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Litigation and legal proceedings filed by or against us and our subsidiaries could have a material adverse effect on our business, results of operations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Litigation and other proceedings may include, but are not limited to, complaints from or litigation by customers or reinsurers, related to alleged breaches of contract or otherwise. As our market share increases, competitors may pursue litigation to require us to change our business practices or offerings and limit our ability to compete effectively. We continually face risks associated with litigation of various types arising in the normal course of our business operations, including disputes relating to general commercial and corporate litigation. We are not currently involved in any material litigation with our customers, consumers, or affinity partners. We cannot predict with any certainty whether we will be involved in such litigation in the future or what impact such litigation would have on our business. If we were to be involved in litigation and it was determined adversely, it could require us to pay significant damage amounts or to change aspects of our operations, either of which could have a material adverse effect on our financial results. Even claims without merit can be time-consuming and costly to defend and may divert management’s attention and resources away from our business and adversely affect our business, results of operations and financial condition. Additionally, routine lawsuits over claims that are not individually material could in the future become material if aggregated with a substantial number of similar lawsuits. In addition to increasing costs, a significant volume of customer complaints or litigation could adversely affect our brand and reputation, regardless of whether such allegations are valid or whether we are liable. We cannot predict with certainty the costs of defense, the costs of prosecution, insurance coverage or the ultimate outcome of litigation or other proceedings filed by or against us, including remedies or damage awards, and adverse results in such litigation, and other proceedings may harm our business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insurance coverage may be expensive, and losses we incur may exceed the limits of our insurance coverage, or may not be covered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 We maintain voluntary and required insurance coverage, including, among others, general liability, property, director and officer, excess Securities Investor Protection Corporation, business interruption, cyber and data breach, error and omission and fidelity bond insurance. We have self-insurance for certain potential liabilities through REPCO, a wholly-owned captive insurance subsidiary. While we endeavor to self-insure and purchase coverage that is appropriate based on our assessment of our risk, we are unable to predict with certainty the frequency, nature or magnitude of claims for direct or consequential damages. Assessing the probability of a loss occurring and the timing and amount of any loss related to a regulatory matter or a legal proceeding is inherently difficult, and there are particular uncertainties and complexities involved when assessing the adequacy of loss reserves for potential liabilities that are self-insured by our captive insurance subsidiary. The availability of coverage depends on the nature of the claim and the adequacy of reserves, which in turn depends in part on historical claims experience, including the actual timing and costs of resolving matters that begin in one policy period and are resolved in a subsequent period. Further to the difficulties noted above regarding assessing the probability of a loss occurring and the timing and amount of any loss related to a regulatory matter or a legal proceeding, such assessment requires complex judgments,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In addition, certain types of potential claims for damages cannot be insured. Our business may be negatively affected if in the future unforeseen circumstances cause us to exceed the limits of our insurance coverage or some or all of our insurance proves to be unavailable to cover our liabilities related to legal or regulatory matters. Such negative consequences could include additional expense and financial loss, which could be significant in amount. In addition, insurance claims may harm our reputation or divert management resources away from operating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certain industry regulations, including the Truth-in-Lending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may require compliance with certain regulatory regimes, including some applicable to consumer lending. In particular, the laws which our business may be subject to directly or indirectly include the Truth-in-Lending Act, and its implementing Regulation Z, and similar state laws, which require certain disclosures to borrowers regarding the terms and conditions of their loans and credit transactions. Non-compliance with the Truth-in-Lending Act or other laws and regulations could result in fines, sanctions, or other adverse consequences.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applicable tax laws, regulations or administrative interpretations thereof may materially adversely affect our financial condition, results of operations and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could be adversely affected by changes in applicable tax laws, regulations, or administrative interpretations thereof. For example, the U.S. federal tax legislation commonly referred to as the Tax Cuts and Jobs Act (the “</w:t>
      </w:r>
      <w:r>
        <w:rPr>
          <w:rFonts w:ascii="Times New Roman;Times;serif" w:hAnsi="Times New Roman;Times;serif"/>
          <w:b/>
          <w:i/>
          <w:sz w:val="20"/>
        </w:rPr>
        <w:t>TCJA</w:t>
      </w:r>
      <w:r>
        <w:rPr>
          <w:rFonts w:ascii="Times New Roman;Times;serif" w:hAnsi="Times New Roman;Times;serif"/>
          <w:sz w:val="20"/>
        </w:rPr>
        <w:t>”), enacted in December 2017, resulted in fundamental changes to the Internal Revenue Code (“Code”), including, among many other things, a reduction to the federal corporate income tax rate, a limitation on the deductibility of business interest expense, a limitation on the deductibility of certain director and officer compensation expense, limitations on the use of net operating loss carrybacks and carryovers and changes relating to the scope and timing of U.S. taxation on earnings from international business operations. Subsequent legislation, the Coronavirus Aid, Relief, and Economic Security Act (the “</w:t>
      </w:r>
      <w:r>
        <w:rPr>
          <w:rFonts w:ascii="Times New Roman;Times;serif" w:hAnsi="Times New Roman;Times;serif"/>
          <w:b/>
          <w:i/>
          <w:sz w:val="20"/>
        </w:rPr>
        <w:t>CARES Act</w:t>
      </w:r>
      <w:r>
        <w:rPr>
          <w:rFonts w:ascii="Times New Roman;Times;serif" w:hAnsi="Times New Roman;Times;serif"/>
          <w:sz w:val="20"/>
        </w:rPr>
        <w:t>”), enacted on March 27, 2020, relaxed certain of the limitations imposed by the TCJA for certain taxable years, including the limitation on the use and carryback of net operating losses and the limitation on the deductibility of business interest expense. The exact impact of the TCJA and the CARES Act for future years is difficult to quantify, but these changes could materially adversely affect holders of our common stock. In addition, on August 16, 2022, President Biden signed into law the Inflation Reduction Act of 2022, which among other things, imposes a 1% excise tax on the fair market value of stock repurchased by “covered corporations” beginning in 2023. Other changes could be enacted in the future to increase the corporate tax rate, limit further the deductibility of interest or effect other changes that could have a material adverse effect on our business, results of operations and financial condition. Such changes could also include increases in state taxes and other changes to state tax laws to replenish state and local government finances depleted by costs attributable to the COVID-19 pandemic and the accompanying economic downturn.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our effective tax rate and tax liability are based on the application of current income tax laws, regulations, and treaties. These laws, regulations and treaties are complex, and the manner in which they apply to the Company and its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comply with anti-corruption and anti-money laundering laws, including the FCPA and similar laws associated with our activities outside of the United States, could subject us to penalties and other adverse consequences.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Cybersecurity and Technology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Security incidents or real or perceived errors, failures or bugs in our systems or our website could impair our operations, result in loss of personal customer information, damage our reputation, and brand, and harm our business and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unable to prevent or address the misappropriation of our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Being a Public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price and trading volume of our common stock and warrants may be highly volatile and could decline significantly.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Securities markets worldwide experience significant price and volume fluctuations. This market volatility, as well as general economic, market or political conditions, could reduce the market price of our common stock and warrants in spite of our operating performance. We cannot assure you that the market price of our common stock and warrants will not fluctuate widely or decline significantly in the future in response to a number of factors, including any of the risks presented under this section entitled “</w:t>
      </w:r>
      <w:r>
        <w:rPr>
          <w:rFonts w:ascii="Times New Roman;Times;serif" w:hAnsi="Times New Roman;Times;serif"/>
          <w:i/>
          <w:sz w:val="20"/>
        </w:rPr>
        <w:t>Item 1A</w:t>
      </w:r>
      <w:r>
        <w:rPr>
          <w:rFonts w:ascii="Times New Roman;Times;serif" w:hAnsi="Times New Roman;Times;serif"/>
          <w:sz w:val="20"/>
        </w:rPr>
        <w:t xml:space="preserve">. </w:t>
      </w:r>
      <w:r>
        <w:rPr>
          <w:rFonts w:ascii="Times New Roman;Times;serif" w:hAnsi="Times New Roman;Times;serif"/>
          <w:i/>
          <w:sz w:val="20"/>
        </w:rPr>
        <w:t>Risk Factors</w:t>
      </w:r>
      <w:r>
        <w:rPr>
          <w:rFonts w:ascii="Times New Roman;Times;serif" w:hAnsi="Times New Roman;Times;serif"/>
          <w:sz w:val="20"/>
        </w:rPr>
        <w:t>” or presented elsewhere in this proxy statement/prospectus, and, among others, the following:</w:t>
      </w:r>
    </w:p>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and financial performance, quarterly or annual earnings relative to similar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or news stories about us, our competitors or our industry, or positive or negative recommendations or withdrawal of research coverage by securities analysts;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press-releases, other public announcements and filings with the SEC;</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acquisitions, business plans or commercial relationships;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the Company Board or senior management;</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by us, our directors, executive officers, principal shareholders;</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market reaction to any indebtedness we may incur or securities we may issue in the future;</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hedging and other derivative transactions in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capital market risks related to changes in interest rates, realized investment losses, credit spreads, equity prices, foreign exchange rates and performance of insurance-linked investments;</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creditworthiness, financial condition, performance and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 and whether dividends on our common stock have been, and are likely to be, declared and paid from time to time;</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of the investment opportunity associated with our common stock relative to other investment alternatives;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or trends in our industry, geographies or customers;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 and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threatened or actual litigation or government investigations.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management team has limited experience managing a public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Most members of our management team have limited experience managing a publicly traded company, interacting with public company investors, and complying with the increasingly complex laws pertaining to public companies. Our management team may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trading market for our common stock will be influenced by the research and reports that industry or securities analysts publish about the Company or its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 public company, we will become subject to additional laws, regulations, and stock exchange listing standards, which will impose additional costs on us and may strain our resources and divert our management’s attention.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company with publicly traded securities, we will be subject to the reporting requirements of the Exchange Act, the Sarbanes-Oxley Act, the Dodd-Frank Wall Street Reform and Consumer Protection Act of 2010, the listing requirements of the Nasdaq and other applicable securities laws and regulations. These rules and regulations require that we adopt additional controls and procedures and disclosure, corporate governance and other practices thereby significantly increasing our legal, financial, and other compliance costs. These new obligations will also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will need to commit significant resources, hire additional staff, and provide additional management oversight. Furthermore, as a result of disclosure of information in this proxy statement/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the Company’s common stock, fines, sanctions, other regulatory actions, and civil litigation, any of which could negatively affect the price of the Company’s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Amended and Restated Certificate of Incorporation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Amended and Restated Certificate of Incorporation (the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Delaware General Corporation Law (the “DGCL”), (4) any action to interpret, apply, enforce or determine the validity of our Charter or bylaws, or (5)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the Company consents in writing to the selection of an alternate forum, the federal courts will be the exclusive forum for the resolution of any complaint asserting a cause of action arising under the Securities Act. The Company’s Charter will not address or apply to claims that arise under the Exchange Act; however, Section 27 of the Exchange Act creates exclusive federal jurisdiction over all suits brought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significant portion of our total outstanding shares of our common stock are restricted from immediate resale but may be sold into the market in the near future. This could cause the market price of our common stock to drop significantly, even if our business is doing well.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Closing, the Company entered into Lock-Up Agreements with certain holders, pursuant to, and on the terms and conditions of which, subject to certain exceptions, such holders shall not transfer or make any announcement of any intention to affect a transfer of any of the equity interests of securities of the Company beneficially owned by the holder during the applicable lock-up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applicable expiration of the lock-up period, the holders subject to Lock-Up Agreements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restrictions on resale end and registration statements for the sale of shares of our common stock by the parties to the registration rights agreement are available for use, the sale or possibility of sale of these shares of our common stock, could have the effect of increasing the volatility in the market price of our common stock, or decreasing the market price itself.</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quarterly operating results and other operating metrics may fluctuate from quarter to quarter, which makes these metrics difficult to predict.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attract new customers;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development and upgrading of our technology platform;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new product, service, feature, and content introductions by us or our competitors or any other change in the competitive landscape of our market;</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pressure as a result of competition or otherwise;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marketing, sales, and other operating expenses that we may incur to grow and expand our operations and to remain competitive;</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diversification and growth of our revenue sources;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gross margins and operating margins;</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failures or breaches of security or privacy;</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 including content costs for past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legislative or regulatory environment, including with respect to insurance and consumer product regulations;</w:t>
            </w:r>
          </w:p>
        </w:tc>
      </w:tr>
    </w:tbl>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effective tax rate;</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macroeconomic conditions, including lower consumer confidence, recessionary conditions, increased unemployment rates, or stagnant or declining wages.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one of the factors above or the cumulative effect of some of the factors above may result in significant fluctuations in our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establish and maintain effective internal controls in accordance with Section 404 of the Sarbanes- Oxley Act could have a material adverse effect on our business and stock price.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 each year, we could be subject to sanctions or investigations by the SEC or other regulatory authorities, which would require additional financial and management resources and could adversely affect the market price of our shares of common stock. Furthermore, if we cannot provide reliable financial reports or prevent fraud, our business and results of operations could be harmed and investors could lose confidence in our reported financial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“smaller reporting company” and the reduced public company reporting and disclosure requirements applicable to smaller reporting companies may make our common stock less attractive to investors.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qualify as “smaller reporting company,” as defined in the Exchange Act. For as long as we continue to be a smaller reporting company, we may choose to take advantage of certain exemptions from various reporting requirements or scaled disclosure requirements applicable to other public companies but not to smaller reporting companies, which includes,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have only two years of audited financial statements and only two years of management discussion and analysis of financial condition and results of operations disclosure;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requirements under Section 404(b) of the Sarbanes-Oxley Act of 2002 (the “Sarbanes-Oxley Act”);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any requirement that may be adopted by the Public Company Accounting Oversight Board (“PCAOB”) regarding mandatory audit firm rotation;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among other things, in our periodic reports and proxy statements;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non-binding stockholder votes on executive compensation arrangements and stockholder approval of any golden parachute payments not previously approved.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continue to be “smaller reporting company” if, as of the last business day of our most recently completed second quarter, (i) our public float is less than $250 million, or (ii) our annual revenues for the recently completed fiscal year are less than $100 million and we either have no public float or a public float of less than $700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foregoing, the information we provide may be different than the information that is available with respect to other public companies. We cannot predict if investors will find our common stock less attractive if we rely on these exemptions. If some investors find our common stock less attractive, there may be a less active trading market for our common stock and our stock price may be more volatile.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public company we will incur significant legal, accounting, and other expenses that we did not incur as a private company. We will be subject to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will be required to comply with the auditor attestation requirements of Section 404 of the Sarbanes-Oxley Act when we cease to be a “smaller reporting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our Board and qualified executive officers.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holding company and rely on dividends, distributions and other payments, advances and transfers of funds from our subsidiaries to meet our debt service and other obligations.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no direct operations and derive all of our cash flow from our subsidiaries. Because we conduct our operations through our subsidiaries, we depend on those entities for dividends and other payments or distributions to meet any existing or future debt service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subsidiaries. For more information about potential limits on our ability to receive dividends from our broker-dealer subsidiaries, see ”</w:t>
      </w:r>
      <w:r>
        <w:rPr>
          <w:rFonts w:ascii="Times New Roman;Times;serif" w:hAnsi="Times New Roman;Times;serif"/>
          <w:i/>
          <w:sz w:val="20"/>
        </w:rPr>
        <w:t>We are subject to various regulatory requirements, which, if not complied with, could result in the restriction of the conduct or growth of our business” </w:t>
      </w:r>
      <w:r>
        <w:rPr>
          <w:rFonts w:ascii="Times New Roman;Times;serif" w:hAnsi="Times New Roman;Times;serif"/>
          <w:sz w:val="20"/>
        </w:rPr>
        <w:t>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raise capital in the future may be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the Company’s common stockholders to make claims on our assets, and the terms of any debt could restrict our operations, including our ability to pay dividends on the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forecasts of market growth and other projections included in this proxy statement/prospectus may prove to be inaccurate, and even if the markets in which we compete achieve the forecasted growth, we cannot assure you that our business will grow at a similar rate, if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Growth forecasts and projections are subject to significant uncertainty and are based on assumptions and estimates that may not prove to be accurate. The forecasts in this proxy statement/prospectus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proxy statement/prospectus,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amend the terms of the warrants in a manner that may be adverse to holders of our warrants with the approval by the holders of at least 50% of the then outstanding warrants. As a result, the exercise price of your warrants could be increased, the exercise period could be shortened and the number of shares of common stock purchasable upon exercise of a warrant could be decreased, all without a warrant holder’s approval.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warrants were issued in registered form under a warrant agreement, which provides that the terms of the warrants may be amended without the consent of any holder to cure any ambiguity or correct any defective provision, and that all other modifications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amendments will require the vote or written consent of the holders of at least 50% of the then outstanding warrants, and, solely with respect to any amendment to the terms of the private placement warrants, a majority of the then outstanding private placement warrants. Accordingly, we may amend the terms of the warrants in a manner adverse to a holder if holders of at least 50% of the then outstanding warrants approve of such amendment. Although our ability to amend the terms of the Warrants with the consent of at least 50% of the then outstanding warrants is unlimited, examples of such amendments could be amendments to, among other things, increase the exercise price of the warrants, convert the warrants into cash or common stock, shorten the exercise period or decrease the number of shares of common stock purchasable upon exercise of the Company’s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Your unexpired Warrants may be redeemed prior to their exercise at a time that is disadvantageous to you, thereby making your Warrants worthless.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the ability to redeem outstanding warrants at any time after they become exercisable and prior to their expiration, at a price of $0.01 per warrant; provided that the last reported sale price of our common stock equals or exceeds $18.00 per share (as adjusted for adjustments to the number of shares issuable upon exercise or the exercise price of a warrant) for any 20 trading days within a 30 trading-day period ending on the third trading day prior to the date on which we send the notice of redemption to the warrant holders. We will not redeem the warrants unless an effective registration statement under the Securities Act covering the issuance of our common stock issuable upon the exercise of the warrants is effective and a current prospectus relating to those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therefore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w:t>
      </w:r>
    </w:p>
    <w:p>
      <w:pPr>
        <w:pStyle w:val="TextBody"/>
        <w:bidi w:val="0"/>
        <w:spacing w:before="0" w:after="240"/>
        <w:ind w:left="0" w:right="0" w:hanging="0"/>
        <w:jc w:val="left"/>
        <w:rPr>
          <w:rFonts w:ascii="Times New Roman;Times;serif" w:hAnsi="Times New Roman;Times;serif"/>
          <w:b/>
          <w:sz w:val="20"/>
        </w:rPr>
      </w:pPr>
      <w:bookmarkStart w:id="34" w:name="ITEM1BUNRESOLVEDSTAFFCOMMENTS_386329"/>
      <w:bookmarkStart w:id="35" w:name="_f2836e91_0c57_42e1_8f6e_71b1b1ed7920"/>
      <w:bookmarkEnd w:id="34"/>
      <w:bookmarkEnd w:id="35"/>
      <w:r>
        <w:rPr>
          <w:rFonts w:ascii="Times New Roman;Times;serif" w:hAnsi="Times New Roman;Times;serif"/>
          <w:b/>
          <w:sz w:val="20"/>
        </w:rPr>
        <w:t>ITEM 1B. UNRESOLVED STAFF COMMENTS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36" w:name="ITEM1CCYBERSECURITY_434270"/>
      <w:bookmarkStart w:id="37" w:name="_6c1f7f70_2b4a_4cf6_a6b4_b5ef66f5233a"/>
      <w:bookmarkEnd w:id="36"/>
      <w:bookmarkEnd w:id="37"/>
      <w:r>
        <w:rPr>
          <w:rFonts w:ascii="Times New Roman;Times;serif" w:hAnsi="Times New Roman;Times;serif"/>
          <w:b/>
          <w:sz w:val="20"/>
        </w:rPr>
        <w:t>ITEM 1C. CYBERSECURITY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Cybersecurity Risk Management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written policies and procedures that outline the Company’s comprehensive information security program (CISP). The Chief Information Security Officer (CISO) has the responsibility for implementation and maintenance of the CISP. In addition to SEC and FINRA regulatory requirements, we leverage established security frameworks, such as the National Institute of Standards and Technology Cybersecurity Framework, as guides to continually improve our policies and procedures. In addition, our employees are required to complete a cybersecurity training program each year, which is supplemented with additional awareness efforts, including phishing campaigns and informational notifications.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employ a variety of security tools and components to monitor, identify and block cybersecurity threats. In the event of a cybersecurity incident, the Company has an incident response team (IRT) whose role is to respond quickly and effectively. The IRT utilizes an incident response plan for the implementation of the its incident response capabilities that provides (i) a definition of “reportable incidents/events”, and (ii) “metrics” for evaluating the IRT’s response capabilities and effectiveness. The checklist is periodically reviewed by the IT Department for lessons learned from both mock and actual incidents, and to assure compliance with most current industry best practices and latest regulatory developments. The incident response plan includes processes through which cybersecurity incidents are escalated to the Company’s executive officers. To improve preparedness for a cybersecurity incident, we conduct tabletop exercises at least annually. These exercises are conducted by internal personnel.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Cybersecurity Committee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mission of the Cyber Security Committee is to be responsible for the cultivation of a corporate culture that recognizes risk awareness and the development of the Company’s cyber security solutions, utilizing thought leadership, technology and systems, and development of applicable policies and procedures. Through its cyber security policy and procedures, the Committee will ensure effective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collaboration and coordination between affected departments and staff in identifying and responding to both privacy and cyber security risks and events. The Committee will oversee the development and implementation of an enterprise-wide strategic framework related to the identification and prevention of cyber security threats as an integral part of the Firm’s risk management process, otherwise known as CISP. The Firm’s cyber security framework is intended to be “evolutionary”, requiring (i) periodic reviews, and (ii) testing of systems, that result in changes to Company policy and procedures, as cyber security issues and developments require. The Committee shall be composed of specified members of senior management, department heads and staff, who have been selected based upon their backgrounds and experience involving IT, Risk Management, Operations, Compliance, and Legal. The Committee shall have the discretion to engage and utilize the services of independent vendors, computer service providers (eSP’s) and consultants having expertise in the area of cyber security and IT. The Committee shall determine its meeting agendas and frequency of meetings which shall be reported through minutes prepared by the designated secretary.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Engagement of Third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engage third-party subject matter experts and consultants to conduct evaluations of our security controls, including, but not limited to, penetration testing, auditing of our CISP or consulting on our response to cyber security threats and breaches. Results of these evaluations are used to help determine priorities and initiatives to improve the overall CISP. As necessary, we also engage third-party experts and consultants to assist with the incident response process to augment our internal security operation center team.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conduct initial and ongoing due diligence of each current or prospective third-party service provider to evaluate whether the third-party service provider will have access, maintain, or store any client private information. Vendor cybersecurity controls are then assessed to determine if the vendor’s control environment meets the Company’s standards. Vendors are also assessed on a periodic ongoing basis according to their risk classification.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identified any cybersecurity incidents that individually, or in the aggregate, have materially affected or are reasonably likely to materially affect the Company. Regardless, we recognize cybersecurity threats are ongoing and evolving, and there can be no guarantee that we will not be subject to a cybersecurity incident that has a material effect on our business.</w:t>
      </w:r>
    </w:p>
    <w:p>
      <w:pPr>
        <w:pStyle w:val="TextBody"/>
        <w:bidi w:val="0"/>
        <w:spacing w:before="0" w:after="240"/>
        <w:ind w:left="0" w:right="0" w:hanging="0"/>
        <w:jc w:val="left"/>
        <w:rPr>
          <w:rFonts w:ascii="Times New Roman;Times;serif" w:hAnsi="Times New Roman;Times;serif"/>
          <w:b/>
          <w:sz w:val="20"/>
        </w:rPr>
      </w:pPr>
      <w:bookmarkStart w:id="38" w:name="ITEM2PROPERTIES_144495"/>
      <w:bookmarkStart w:id="39" w:name="_c82291fc_cdd6_49a9_aa22_ee084bc6a899"/>
      <w:bookmarkEnd w:id="38"/>
      <w:bookmarkEnd w:id="39"/>
      <w:r>
        <w:rPr>
          <w:rFonts w:ascii="Times New Roman;Times;serif" w:hAnsi="Times New Roman;Times;serif"/>
          <w:b/>
          <w:sz w:val="20"/>
        </w:rPr>
        <w:t>ITEM 2. PROPERTIES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our executive offices at 80 State Street, Albany, NY 12207.</w:t>
      </w:r>
    </w:p>
    <w:p>
      <w:pPr>
        <w:pStyle w:val="TextBody"/>
        <w:bidi w:val="0"/>
        <w:spacing w:before="0" w:after="240"/>
        <w:ind w:left="0" w:right="0" w:hanging="0"/>
        <w:jc w:val="left"/>
        <w:rPr>
          <w:rFonts w:ascii="Times New Roman;Times;serif" w:hAnsi="Times New Roman;Times;serif"/>
          <w:b/>
          <w:sz w:val="20"/>
        </w:rPr>
      </w:pPr>
      <w:bookmarkStart w:id="40" w:name="ITEM3LEGALPROCEEDINGS_991192"/>
      <w:bookmarkStart w:id="41" w:name="_153ca49c_cdd7_457b_9eed_8437a2e0fa9f"/>
      <w:bookmarkEnd w:id="40"/>
      <w:bookmarkEnd w:id="41"/>
      <w:r>
        <w:rPr>
          <w:rFonts w:ascii="Times New Roman;Times;serif" w:hAnsi="Times New Roman;Times;serif"/>
          <w:b/>
          <w:sz w:val="20"/>
        </w:rPr>
        <w:t>ITEM 3.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be party to various claims and legal proceedings from time to time. We are not subject to any pending material legal proceedings, nor, to our knowledge, is any material legal proceeding threatened against us or any of our officers or directors in their capacity as such.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pStyle w:val="TextBody"/>
        <w:bidi w:val="0"/>
        <w:spacing w:before="0" w:after="240"/>
        <w:ind w:left="0" w:right="0" w:hanging="0"/>
        <w:jc w:val="left"/>
        <w:rPr>
          <w:rFonts w:ascii="Times New Roman;Times;serif" w:hAnsi="Times New Roman;Times;serif"/>
          <w:b/>
          <w:sz w:val="20"/>
        </w:rPr>
      </w:pPr>
      <w:bookmarkStart w:id="42" w:name="ITEM4MINESAFETYDISCLOSURES_625311"/>
      <w:bookmarkStart w:id="43" w:name="_634c950a_8343_4cb8_8fa4_c0dab01702d0"/>
      <w:bookmarkEnd w:id="42"/>
      <w:bookmarkEnd w:id="43"/>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4" w:name="PARTII_247947"/>
      <w:bookmarkStart w:id="45" w:name="_b0518027_4e8c_4ba3_88d0_f0ca3a750d0b"/>
      <w:bookmarkEnd w:id="44"/>
      <w:bookmarkEnd w:id="45"/>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46" w:name="ITEM5MARKETFORREGISTRANTSCOMMONEQUITYREL"/>
      <w:bookmarkEnd w:id="46"/>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Market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stock and warrants to purchase our common stock are traded on the Nasdaq Global Market and the Nasdaq Capital Market under the trading symbols “BCG” and “BCGWW”,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there were 17 shareholders of record of our common stock and 11 holders of record of our warrants to purchase our common stock. The number of holders of record does not include a substantially greater number of “street name” holders or beneficial holders, whose shares and/or warrants are held of record by banks, brokers and other financial institutions.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Securities Authorized for Issuance Under Equity Compensation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Performance Graph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required for smaller reporting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 Recent Sales of Unregistered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has been previously disclosed in our Current Report on Form 8-K filed with the Securities and Exchange Commission on March 22, 2024 and our Form 10-Q for the quarter ended September 30, 2025, filed with the U.S. Securities and Exchange Commission on November 13,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 Use of Proceeds from Registered Offerings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47" w:name="ITEM6RESERVED_788666"/>
      <w:bookmarkStart w:id="48" w:name="_40a00511_adef_4e6b_a9ee_4ed353b43ed6"/>
      <w:bookmarkEnd w:id="47"/>
      <w:bookmarkEnd w:id="48"/>
      <w:r>
        <w:rPr>
          <w:rFonts w:ascii="Times New Roman;Times;serif" w:hAnsi="Times New Roman;Times;serif"/>
          <w:b/>
          <w:sz w:val="20"/>
        </w:rPr>
        <w:t>ITEM 6. [</w:t>
      </w:r>
      <w:r>
        <w:rPr>
          <w:rFonts w:ascii="Times New Roman;Times;serif" w:hAnsi="Times New Roman;Times;serif"/>
          <w:b/>
          <w:smallCaps/>
          <w:sz w:val="20"/>
        </w:rPr>
        <w:t>RESERVED</w:t>
      </w: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49" w:name="ITEM7MANAGEMENTSDISCUSSIONANDANALYSISOFF"/>
      <w:bookmarkStart w:id="50" w:name="_8cf83efe_ceef_4553_ac0c_683ed5019042"/>
      <w:bookmarkEnd w:id="49"/>
      <w:bookmarkEnd w:id="50"/>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of the Company’s financial condition and results of operations should be read in conjunction with the consolidated financial statements and the notes thereto contained elsewhere in this report. This discussion contains forward-looking statements that involve significant risks and uncertainties. As a result of many factors, such as those set forth under “Risk Factors” and elsewhere in this Annual Report on Form 10-K, our actual results may differ materially from those anticipated in these forward-looking statements. Please also refer to the section under heading “Special Note Regarding Forward-Looking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information for the years ended December 31, 2025 and 2024 are derived from the Company’s audited consolidated financial statements and the notes thereto included elsewhere in this report.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Any reference to Binah Capital Group, Inc. refers to Binah Capital Group, Inc. and our consolidated subsidiaries on a forward-looking basis or as the context requires, to the historical results of BMS Management Services LLC. Any reference to “BMS Management Services LLC” refers to the entities comprising the Binah Capital Group, Inc. business prior to the consummation of the Business Combination.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 leading consolidator of retail wealth management businesses that owns and operates ten entities, four of which are broker-dealers, three of which are registered investment advisors, and three of which are insurance entities, that have over 1,600 registered individuals working within the financial services industries.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Sources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is derived primarily from fees and commissions from products and advisory services offered by our advisors to their clients, a substantial portion of which we pay out to our advisors.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Summary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Highlights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Results for the year ended December 31, 2025 include net income of approximately $2.3 million and total revenue of approximately $187.1 million and a net loss of approximately $4.6 million and total revenue of approximately $168.9 million for the year ended December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advisory and brokerage assets served were $29.9 billion at December 31, 2025, compared to $27.1 billion at December 31, 2024. Total net new assets were $(1.9) billion for the year ended December 31, 2025, compared to $(2.1) billion for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advisory assets were $0.0 million for the year ended December 31, 2025, compared to $0.0 million for the year ended December 31, 2024. Advisory assets were $2.9 billion at December 31, 2025, which is an increase of approximately 16% from the $2.5 billion at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new brokerage assets were $(1.9) billion for the year ended December 31, 2025, compared to $(2.1) billion for the year ended December 31, 2024. Brokerage assets were $27.0 billion at December 31, 2025, an increase of approximately 10% from $24.5 billion at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Profit Trend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a non-GAAP financial measure, was $37.8 million for the year ended December 31, 2025, an increase of approximately 12% from $33.7 million for the year ended December 31, 2024. See the “</w:t>
      </w:r>
      <w:r>
        <w:rPr>
          <w:rFonts w:ascii="Times New Roman;Times;serif" w:hAnsi="Times New Roman;Times;serif"/>
          <w:i/>
          <w:sz w:val="20"/>
        </w:rPr>
        <w:t>Key Performance Metrics and Non-GAAP Financial Measures”</w:t>
      </w:r>
      <w:r>
        <w:rPr>
          <w:rFonts w:ascii="Times New Roman;Times;serif" w:hAnsi="Times New Roman;Times;serif"/>
          <w:sz w:val="20"/>
        </w:rPr>
        <w:t xml:space="preserve"> section for additional information on gross profit.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Metrics and 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focus on several key metrics in evaluating the success of our business relationships and our resulting financial position and operating performance. Our key metrics of Gross Profit and EBITDA are “non-GAAP financial measures.” Our management periodically uses certain “non-GAAP financial measures,” as such term is defined under the rules of the SEC, to supplement our financial information presented in accordance with U.S. GAAP and to clarify and enhance understanding of past performance and prospects for the future.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U.S. GAAP. Management believes that the non-GAAP financial measures of Gross Profit, EBITDA and Adjusted EBITDA provide investors and analysts useful insight into our financial position and operating performance. Any non-GAAP measure provided should be viewed in addition to, and not as an alternative to, the most directly comparable measure determined in accordance with U.S. GAAP. Further, the calculation of these non-GAAP financial measures may differ from the calculation of similarly titled financial measures presented by other companies and therefore may not be comparable among companies.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is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EBITDA and Adjusted EBITDA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EBITDA is a non-GAAP financial measure defined as net income plus interest expense, provision for income taxes, and depreciation and amortization. Adjusted EBITDA is defined as EBITDA, a non-GAAP measure, plus non-recurring costs related to our business combination, costs related to the re-financing of the senior credit facility, and share-based compensation costs. The Company presents EBITDA and Adjusted EBITDA because management believes that it can be a useful financial metric in understanding the Company’s earnings from operations. EBITDA and Adjusted EBITDA are not a measure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financial-related covenants.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our non-GAAP financial measures to their most directly comparable GAAP financial measures appears below in the footnotes to the table of our key operating, business and financial metrics.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key operating, business and financial metrics are as follows:</w:t>
      </w:r>
    </w:p>
    <w:p>
      <w:pPr>
        <w:pStyle w:val="TextBody"/>
        <w:bidi w:val="0"/>
        <w:spacing w:before="0" w:after="240"/>
        <w:ind w:left="0" w:right="0" w:hanging="0"/>
        <w:jc w:val="center"/>
        <w:rPr/>
      </w:pPr>
      <w:r>
        <w:rPr/>
        <w:t>​</w:t>
      </w:r>
    </w:p>
    <w:tbl>
      <w:tblPr>
        <w:tblW w:w="8040" w:type="dxa"/>
        <w:jc w:val="left"/>
        <w:tblInd w:w="0" w:type="dxa"/>
        <w:tblLayout w:type="fixed"/>
        <w:tblCellMar>
          <w:top w:w="0" w:type="dxa"/>
          <w:left w:w="0" w:type="dxa"/>
          <w:bottom w:w="0" w:type="dxa"/>
          <w:right w:w="0" w:type="dxa"/>
        </w:tblCellMar>
      </w:tblPr>
      <w:tblGrid>
        <w:gridCol w:w="4276"/>
        <w:gridCol w:w="346"/>
        <w:gridCol w:w="368"/>
        <w:gridCol w:w="998"/>
        <w:gridCol w:w="604"/>
        <w:gridCol w:w="368"/>
        <w:gridCol w:w="1080"/>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715260" cy="175260"/>
                      <wp:effectExtent l="0" t="0" r="0" b="0"/>
                      <wp:wrapNone/>
                      <wp:docPr id="4" name="Frame4"/>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33680" cy="175260"/>
                      <wp:effectExtent l="0" t="0" r="0" b="0"/>
                      <wp:wrapNone/>
                      <wp:docPr id="6" name="Frame6"/>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33730" cy="175260"/>
                      <wp:effectExtent l="0" t="0" r="0" b="0"/>
                      <wp:wrapNone/>
                      <wp:docPr id="7" name="Frame7"/>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83540" cy="175260"/>
                      <wp:effectExtent l="0" t="0" r="0" b="0"/>
                      <wp:wrapNone/>
                      <wp:docPr id="8" name="Frame8"/>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3680" cy="175260"/>
                      <wp:effectExtent l="0" t="0" r="0" b="0"/>
                      <wp:wrapNone/>
                      <wp:docPr id="9" name="Frame9"/>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85800" cy="175260"/>
                      <wp:effectExtent l="0" t="0" r="0" b="0"/>
                      <wp:wrapNone/>
                      <wp:docPr id="10" name="Frame10"/>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and for the Years Ended December 31,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Operating Metric (dollars in billions)</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04" w:type="dxa"/>
            <w:tcBorders/>
            <w:vAlign w:val="center"/>
          </w:tcPr>
          <w:p>
            <w:pPr>
              <w:pStyle w:val="TableContents"/>
              <w:bidi w:val="0"/>
              <w:spacing w:before="0" w:after="0"/>
              <w:ind w:left="0" w:right="0" w:hanging="0"/>
              <w:jc w:val="left"/>
              <w:rPr/>
            </w:pPr>
            <w:r>
              <w:rPr/>
              <w:t>  ​ ​ ​</w:t>
            </w:r>
          </w:p>
        </w:tc>
        <w:tc>
          <w:tcPr>
            <w:tcW w:w="14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Advisory and Brokerage Assets</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right"/>
              <w:rPr/>
            </w:pPr>
            <w:r>
              <w:rPr/>
              <w:t>  ​</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604"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46" w:type="dxa"/>
            <w:tcBorders/>
            <w:vAlign w:val="center"/>
          </w:tcPr>
          <w:p>
            <w:pPr>
              <w:pStyle w:val="TableContents"/>
              <w:bidi w:val="0"/>
              <w:spacing w:before="0" w:after="0"/>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604" w:type="dxa"/>
            <w:tcBorders/>
            <w:vAlign w:val="center"/>
          </w:tcPr>
          <w:p>
            <w:pPr>
              <w:pStyle w:val="TableContents"/>
              <w:bidi w:val="0"/>
              <w:spacing w:before="0" w:after="0"/>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Advisory and Brokerage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604"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604"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1080" w:type="dxa"/>
            <w:tcBorders/>
            <w:vAlign w:val="center"/>
          </w:tcPr>
          <w:p>
            <w:pPr>
              <w:pStyle w:val="TableContents"/>
              <w:bidi w:val="0"/>
              <w:spacing w:before="0" w:after="0"/>
              <w:ind w:left="0" w:right="0" w:hanging="0"/>
              <w:jc w:val="right"/>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New Assets</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pPr>
            <w:r>
              <w:rPr/>
              <w:t>​</w:t>
            </w:r>
          </w:p>
        </w:tc>
        <w:tc>
          <w:tcPr>
            <w:tcW w:w="604"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 </w:t>
            </w:r>
          </w:p>
        </w:tc>
        <w:tc>
          <w:tcPr>
            <w:tcW w:w="1080"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new brokerage assets</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604"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new advisory assets</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604"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New Assets</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604"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2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pPr>
            <w:r>
              <w:rPr/>
              <w:t>​</w:t>
            </w:r>
          </w:p>
        </w:tc>
        <w:tc>
          <w:tcPr>
            <w:tcW w:w="604"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1080"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Metrics (dollars in millions)</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w:t>
            </w:r>
          </w:p>
        </w:tc>
        <w:tc>
          <w:tcPr>
            <w:tcW w:w="604"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 </w:t>
            </w:r>
          </w:p>
        </w:tc>
        <w:tc>
          <w:tcPr>
            <w:tcW w:w="1080"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604"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604"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Non-GAAP Financial Metrics (dollars in millions)</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pPr>
            <w:r>
              <w:rPr/>
              <w:t>​</w:t>
            </w:r>
          </w:p>
        </w:tc>
        <w:tc>
          <w:tcPr>
            <w:tcW w:w="604"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 </w:t>
            </w:r>
          </w:p>
        </w:tc>
        <w:tc>
          <w:tcPr>
            <w:tcW w:w="1080"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604"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42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EBITDA</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604"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2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604"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is a non-GAAP financial measure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 Below is a calculation of gross profit for the periods presented (in millions):</w:t>
            </w:r>
          </w:p>
        </w:tc>
      </w:tr>
    </w:tbl>
    <w:p>
      <w:pPr>
        <w:pStyle w:val="TextBody"/>
        <w:bidi w:val="0"/>
        <w:spacing w:before="0" w:after="0"/>
        <w:ind w:left="0" w:right="0" w:hanging="0"/>
        <w:jc w:val="center"/>
        <w:rPr/>
      </w:pPr>
      <w:r>
        <w:rPr/>
        <w:t>​</w:t>
      </w:r>
    </w:p>
    <w:tbl>
      <w:tblPr>
        <w:tblW w:w="4920" w:type="dxa"/>
        <w:jc w:val="left"/>
        <w:tblInd w:w="0" w:type="dxa"/>
        <w:tblLayout w:type="fixed"/>
        <w:tblCellMar>
          <w:top w:w="0" w:type="dxa"/>
          <w:left w:w="0" w:type="dxa"/>
          <w:bottom w:w="0" w:type="dxa"/>
          <w:right w:w="0" w:type="dxa"/>
        </w:tblCellMar>
      </w:tblPr>
      <w:tblGrid>
        <w:gridCol w:w="1846"/>
        <w:gridCol w:w="346"/>
        <w:gridCol w:w="294"/>
        <w:gridCol w:w="797"/>
        <w:gridCol w:w="482"/>
        <w:gridCol w:w="294"/>
        <w:gridCol w:w="86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172210" cy="175260"/>
                      <wp:effectExtent l="0" t="0" r="0" b="0"/>
                      <wp:wrapNone/>
                      <wp:docPr id="11" name="Frame1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86690" cy="175260"/>
                      <wp:effectExtent l="0" t="0" r="0" b="0"/>
                      <wp:wrapNone/>
                      <wp:docPr id="13" name="Frame13"/>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06095" cy="175260"/>
                      <wp:effectExtent l="0" t="0" r="0" b="0"/>
                      <wp:wrapNone/>
                      <wp:docPr id="14" name="Frame14"/>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06070" cy="175260"/>
                      <wp:effectExtent l="0" t="0" r="0" b="0"/>
                      <wp:wrapNone/>
                      <wp:docPr id="15" name="Frame15"/>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86690" cy="175260"/>
                      <wp:effectExtent l="0" t="0" r="0" b="0"/>
                      <wp:wrapNone/>
                      <wp:docPr id="16" name="Frame16"/>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46735" cy="175260"/>
                      <wp:effectExtent l="0" t="0" r="0" b="0"/>
                      <wp:wrapNone/>
                      <wp:docPr id="17" name="Frame17"/>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7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Gross Profit</w:t>
            </w:r>
          </w:p>
        </w:tc>
        <w:tc>
          <w:tcPr>
            <w:tcW w:w="346" w:type="dxa"/>
            <w:tcBorders/>
            <w:vAlign w:val="center"/>
          </w:tcPr>
          <w:p>
            <w:pPr>
              <w:pStyle w:val="TableContents"/>
              <w:bidi w:val="0"/>
              <w:spacing w:before="0" w:after="1"/>
              <w:ind w:left="0" w:right="0" w:hanging="0"/>
              <w:jc w:val="left"/>
              <w:rPr/>
            </w:pPr>
            <w:r>
              <w:rPr/>
              <w:t>  ​ ​ ​</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82" w:type="dxa"/>
            <w:tcBorders/>
            <w:vAlign w:val="center"/>
          </w:tcPr>
          <w:p>
            <w:pPr>
              <w:pStyle w:val="TableContents"/>
              <w:bidi w:val="0"/>
              <w:spacing w:before="0" w:after="1"/>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187.1</w:t>
            </w:r>
          </w:p>
        </w:tc>
        <w:tc>
          <w:tcPr>
            <w:tcW w:w="482"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 and fees</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w:t>
            </w:r>
          </w:p>
        </w:tc>
        <w:tc>
          <w:tcPr>
            <w:tcW w:w="482"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482" w:type="dxa"/>
            <w:tcBorders/>
            <w:shd w:fill="CCEEFF" w:val="clear"/>
            <w:vAlign w:val="center"/>
          </w:tcPr>
          <w:p>
            <w:pPr>
              <w:pStyle w:val="TableContents"/>
              <w:bidi w:val="0"/>
              <w:spacing w:before="0" w:after="1"/>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33.7</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and Adjusted EBITDA are non-GAAP financial measures. EBITDA is defined as net income plus interest expense, provision for income taxes, and depreciation and amortization. Adjusted EBITDA is defined as EBITDA plus non-recurring costs related to our business combination, costs related to the re-financing of the senior credit facility, and share-based compensation costs. The Company presents EBITDA and Adjusted EBITDA because management believes that it can be a useful financial metric in understanding the Company’s earnings from operations. EBITDA and Adjusted EBITDA are not a measure of the Company’s financial performance under GAAP and should not be considered as an alternative to net income or any other performance measure derived in accordance with GAAP. Additionally, Adjusted EBITDA is used in connection with the Company’s credit agreements, specifically in the calculation of financial related covenants. Below is a reconciliation of net income to EBITDA and EBITDA to Adjusted EBITDA for the periods presented (in millions):</w:t>
            </w:r>
          </w:p>
        </w:tc>
      </w:tr>
    </w:tbl>
    <w:p>
      <w:pPr>
        <w:pStyle w:val="TextBody"/>
        <w:bidi w:val="0"/>
        <w:spacing w:before="0" w:after="0"/>
        <w:ind w:left="0" w:right="0" w:hanging="0"/>
        <w:jc w:val="center"/>
        <w:rPr/>
      </w:pPr>
      <w:r>
        <w:rPr/>
        <w:t>​</w:t>
      </w:r>
    </w:p>
    <w:tbl>
      <w:tblPr>
        <w:tblW w:w="6825" w:type="dxa"/>
        <w:jc w:val="left"/>
        <w:tblInd w:w="0" w:type="dxa"/>
        <w:tblLayout w:type="fixed"/>
        <w:tblCellMar>
          <w:top w:w="0" w:type="dxa"/>
          <w:left w:w="0" w:type="dxa"/>
          <w:bottom w:w="0" w:type="dxa"/>
          <w:right w:w="0" w:type="dxa"/>
        </w:tblCellMar>
      </w:tblPr>
      <w:tblGrid>
        <w:gridCol w:w="3751"/>
        <w:gridCol w:w="346"/>
        <w:gridCol w:w="360"/>
        <w:gridCol w:w="617"/>
        <w:gridCol w:w="591"/>
        <w:gridCol w:w="360"/>
        <w:gridCol w:w="800"/>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381885" cy="175260"/>
                      <wp:effectExtent l="0" t="0" r="0" b="0"/>
                      <wp:wrapNone/>
                      <wp:docPr id="18" name="Frame18"/>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8600" cy="175260"/>
                      <wp:effectExtent l="0" t="0" r="0" b="0"/>
                      <wp:wrapNone/>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91795" cy="175260"/>
                      <wp:effectExtent l="0" t="0" r="0" b="0"/>
                      <wp:wrapNone/>
                      <wp:docPr id="21" name="Frame21"/>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75285" cy="175260"/>
                      <wp:effectExtent l="0" t="0" r="0" b="0"/>
                      <wp:wrapNone/>
                      <wp:docPr id="22" name="Frame22"/>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8600" cy="175260"/>
                      <wp:effectExtent l="0" t="0" r="0" b="0"/>
                      <wp:wrapNone/>
                      <wp:docPr id="23"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8000" cy="175260"/>
                      <wp:effectExtent l="0" t="0" r="0" b="0"/>
                      <wp:wrapNone/>
                      <wp:docPr id="24" name="Frame24"/>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EBITDA Reconciliation</w:t>
            </w:r>
          </w:p>
        </w:tc>
        <w:tc>
          <w:tcPr>
            <w:tcW w:w="346" w:type="dxa"/>
            <w:tcBorders/>
            <w:vAlign w:val="center"/>
          </w:tcPr>
          <w:p>
            <w:pPr>
              <w:pStyle w:val="TableContents"/>
              <w:bidi w:val="0"/>
              <w:spacing w:before="0" w:after="0"/>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1" w:type="dxa"/>
            <w:tcBorders/>
            <w:vAlign w:val="center"/>
          </w:tcPr>
          <w:p>
            <w:pPr>
              <w:pStyle w:val="TableContents"/>
              <w:bidi w:val="0"/>
              <w:spacing w:before="0" w:after="0"/>
              <w:ind w:left="0" w:right="0" w:hanging="0"/>
              <w:jc w:val="left"/>
              <w:rPr/>
            </w:pPr>
            <w:r>
              <w:rPr/>
              <w:t>  ​ ​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591"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591"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591"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591"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591"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91"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combination and re-financing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91" w:type="dxa"/>
            <w:tcBorders/>
            <w:shd w:fill="CCEEFF" w:val="clear"/>
            <w:vAlign w:val="center"/>
          </w:tcPr>
          <w:p>
            <w:pPr>
              <w:pStyle w:val="TableContents"/>
              <w:bidi w:val="0"/>
              <w:spacing w:before="0" w:after="0"/>
              <w:ind w:left="0" w:right="0" w:hanging="0"/>
              <w:jc w:val="left"/>
              <w:rPr/>
            </w:pPr>
            <w:r>
              <w:rPr/>
              <w:t>​</w:t>
            </w:r>
          </w:p>
        </w:tc>
        <w:tc>
          <w:tcPr>
            <w:tcW w:w="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7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b/>
                <w:sz w:val="15"/>
              </w:rPr>
              <w:t>(2)</w:t>
            </w:r>
          </w:p>
        </w:tc>
        <w:tc>
          <w:tcPr>
            <w:tcW w:w="34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591"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w:t>
            </w:r>
          </w:p>
        </w:tc>
      </w:tr>
    </w:tbl>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Economic Overview and Impact of Financial Market Events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 xml:space="preserve">Our business is directly and indirectly sensitive to several macroeconomic factors and the state of the United States financial markets. The equity markets rose during the year ended December 31, 2025, with the S&amp;P 500 and Russell 2000 index rising 17.9% and 12.8%, respectively. </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Our business is also sensitive to current and expected short-term interest rates, which are largely driven by Fed policy. During the fourth quarter of 2025, Fed policymakers lowered the target federal funds rate to a range of 3.50% to 3.75%.</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sz w:val="20"/>
        </w:rPr>
        <w:t>Please consult the Factors Affecting Our Financial Condition and Results of Operations, including those described in the section of this proxy statement/prospectus titled “</w:t>
      </w:r>
      <w:r>
        <w:rPr>
          <w:rFonts w:ascii="Times New Roman;Times;serif" w:hAnsi="Times New Roman;Times;serif"/>
          <w:b/>
          <w:i/>
          <w:sz w:val="20"/>
        </w:rPr>
        <w:t>Risk Factors</w:t>
      </w:r>
      <w:r>
        <w:rPr>
          <w:rFonts w:ascii="Times New Roman;Times;serif" w:hAnsi="Times New Roman;Times;serif"/>
          <w:b/>
          <w:sz w:val="20"/>
        </w:rPr>
        <w:t>.”</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Our consolidated financial statements have been prepared in accordance with accounting principles generally accepted in the United States of America (“GAAP”). Currently, we conduct business through one operating segment. The consolidated financial statements have been prepared assuming that we will continue as a going concern. See Note 1 in the accompanying consolidated financial statements for further details.</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presents an analysis of our results of operations for the years ended December 31, 2025 and 2024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240"/>
        <w:ind w:left="0" w:right="0" w:hanging="0"/>
        <w:jc w:val="center"/>
        <w:rPr>
          <w:smallCaps/>
        </w:rPr>
      </w:pPr>
      <w:r>
        <w:rPr>
          <w:smallCaps/>
        </w:rPr>
        <w:t>​</w:t>
      </w:r>
    </w:p>
    <w:tbl>
      <w:tblPr>
        <w:tblW w:w="8373" w:type="dxa"/>
        <w:jc w:val="left"/>
        <w:tblInd w:w="0" w:type="dxa"/>
        <w:tblLayout w:type="fixed"/>
        <w:tblCellMar>
          <w:top w:w="0" w:type="dxa"/>
          <w:left w:w="0" w:type="dxa"/>
          <w:bottom w:w="0" w:type="dxa"/>
          <w:right w:w="0" w:type="dxa"/>
        </w:tblCellMar>
      </w:tblPr>
      <w:tblGrid>
        <w:gridCol w:w="3871"/>
        <w:gridCol w:w="346"/>
        <w:gridCol w:w="237"/>
        <w:gridCol w:w="880"/>
        <w:gridCol w:w="389"/>
        <w:gridCol w:w="237"/>
        <w:gridCol w:w="880"/>
        <w:gridCol w:w="346"/>
        <w:gridCol w:w="871"/>
        <w:gridCol w:w="31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458085" cy="175260"/>
                      <wp:effectExtent l="0" t="0" r="0" b="0"/>
                      <wp:wrapNone/>
                      <wp:docPr id="25" name="Frame2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50495" cy="175260"/>
                      <wp:effectExtent l="0" t="0" r="0" b="0"/>
                      <wp:wrapNone/>
                      <wp:docPr id="27" name="Frame2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58800" cy="175260"/>
                      <wp:effectExtent l="0" t="0" r="0" b="0"/>
                      <wp:wrapNone/>
                      <wp:docPr id="28" name="Frame28"/>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47015" cy="175260"/>
                      <wp:effectExtent l="0" t="0" r="0" b="0"/>
                      <wp:wrapNone/>
                      <wp:docPr id="29" name="Frame29"/>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0495" cy="175260"/>
                      <wp:effectExtent l="0" t="0" r="0" b="0"/>
                      <wp:wrapNone/>
                      <wp:docPr id="30" name="Frame3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58800" cy="175260"/>
                      <wp:effectExtent l="0" t="0" r="0" b="0"/>
                      <wp:wrapNone/>
                      <wp:docPr id="31" name="Frame31"/>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53085" cy="175260"/>
                      <wp:effectExtent l="0" t="0" r="0" b="0"/>
                      <wp:wrapNone/>
                      <wp:docPr id="33" name="Frame3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0660" cy="175260"/>
                      <wp:effectExtent l="0" t="0" r="0" b="0"/>
                      <wp:wrapNone/>
                      <wp:docPr id="34" name="Frame3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 ​ ​</w:t>
            </w:r>
          </w:p>
        </w:tc>
        <w:tc>
          <w:tcPr>
            <w:tcW w:w="316"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9" w:type="dxa"/>
            <w:tcBorders/>
            <w:vAlign w:val="center"/>
          </w:tcPr>
          <w:p>
            <w:pPr>
              <w:pStyle w:val="TableContents"/>
              <w:bidi w:val="0"/>
              <w:spacing w:before="0" w:after="0"/>
              <w:ind w:left="0" w:right="0" w:hanging="0"/>
              <w:jc w:val="center"/>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pPr>
            <w:r>
              <w:rPr/>
              <w:t>  ​</w:t>
            </w:r>
          </w:p>
        </w:tc>
        <w:tc>
          <w:tcPr>
            <w:tcW w:w="389" w:type="dxa"/>
            <w:tcBorders/>
            <w:shd w:fill="CCEEFF" w:val="clear"/>
            <w:vAlign w:val="center"/>
          </w:tcPr>
          <w:p>
            <w:pPr>
              <w:pStyle w:val="TableContents"/>
              <w:bidi w:val="0"/>
              <w:spacing w:before="0" w:after="0"/>
              <w:ind w:left="0" w:right="0" w:hanging="0"/>
              <w:jc w:val="righ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88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Contracts with Customers: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389" w:type="dxa"/>
            <w:tcBorders/>
            <w:vAlign w:val="center"/>
          </w:tcPr>
          <w:p>
            <w:pPr>
              <w:pStyle w:val="TableContents"/>
              <w:bidi w:val="0"/>
              <w:spacing w:before="0" w:after="0"/>
              <w:ind w:left="0" w:right="0" w:hanging="0"/>
              <w:jc w:val="right"/>
              <w:rPr/>
            </w:pPr>
            <w:r>
              <w:rPr/>
              <w:t>​</w:t>
            </w:r>
          </w:p>
        </w:tc>
        <w:tc>
          <w:tcPr>
            <w:tcW w:w="237"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153,440</w:t>
            </w:r>
          </w:p>
        </w:tc>
        <w:tc>
          <w:tcPr>
            <w:tcW w:w="389" w:type="dxa"/>
            <w:tcBorders/>
            <w:shd w:fill="CCEEFF" w:val="clear"/>
            <w:vAlign w:val="center"/>
          </w:tcPr>
          <w:p>
            <w:pPr>
              <w:pStyle w:val="TableContents"/>
              <w:bidi w:val="0"/>
              <w:spacing w:before="0" w:after="0"/>
              <w:ind w:left="0" w:right="0" w:hanging="0"/>
              <w:jc w:val="righ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139,452</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28,601</w:t>
            </w:r>
          </w:p>
        </w:tc>
        <w:tc>
          <w:tcPr>
            <w:tcW w:w="389" w:type="dxa"/>
            <w:tcBorders/>
            <w:vAlign w:val="center"/>
          </w:tcPr>
          <w:p>
            <w:pPr>
              <w:pStyle w:val="TableContents"/>
              <w:bidi w:val="0"/>
              <w:spacing w:before="0" w:after="0"/>
              <w:ind w:left="0" w:right="0" w:hanging="0"/>
              <w:jc w:val="righ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24,939</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from Contracts with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182,041</w:t>
            </w:r>
          </w:p>
        </w:tc>
        <w:tc>
          <w:tcPr>
            <w:tcW w:w="389" w:type="dxa"/>
            <w:tcBorders/>
            <w:shd w:fill="CCEEFF" w:val="clear"/>
            <w:vAlign w:val="center"/>
          </w:tcPr>
          <w:p>
            <w:pPr>
              <w:pStyle w:val="TableContents"/>
              <w:bidi w:val="0"/>
              <w:spacing w:before="0" w:after="0"/>
              <w:ind w:left="0" w:right="0" w:hanging="0"/>
              <w:jc w:val="righ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164,391</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w:t>
            </w:r>
          </w:p>
        </w:tc>
        <w:tc>
          <w:tcPr>
            <w:tcW w:w="389" w:type="dxa"/>
            <w:tcBorders/>
            <w:vAlign w:val="center"/>
          </w:tcPr>
          <w:p>
            <w:pPr>
              <w:pStyle w:val="TableContents"/>
              <w:bidi w:val="0"/>
              <w:spacing w:before="0" w:after="0"/>
              <w:ind w:left="0" w:right="0" w:hanging="0"/>
              <w:jc w:val="righ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4,512</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187,144</w:t>
            </w:r>
          </w:p>
        </w:tc>
        <w:tc>
          <w:tcPr>
            <w:tcW w:w="389" w:type="dxa"/>
            <w:tcBorders/>
            <w:shd w:fill="CCEEFF" w:val="clear"/>
            <w:vAlign w:val="center"/>
          </w:tcPr>
          <w:p>
            <w:pPr>
              <w:pStyle w:val="TableContents"/>
              <w:bidi w:val="0"/>
              <w:spacing w:before="0" w:after="0"/>
              <w:ind w:left="0" w:right="0" w:hanging="0"/>
              <w:jc w:val="righ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168,903</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smallCaps/>
        </w:rPr>
      </w:pPr>
      <w:r>
        <w:rPr>
          <w:smallCaps/>
        </w:rPr>
        <w:t>​</w:t>
      </w:r>
    </w:p>
    <w:tbl>
      <w:tblPr>
        <w:tblW w:w="8178" w:type="dxa"/>
        <w:jc w:val="left"/>
        <w:tblInd w:w="0" w:type="dxa"/>
        <w:tblLayout w:type="fixed"/>
        <w:tblCellMar>
          <w:top w:w="0" w:type="dxa"/>
          <w:left w:w="0" w:type="dxa"/>
          <w:bottom w:w="0" w:type="dxa"/>
          <w:right w:w="0" w:type="dxa"/>
        </w:tblCellMar>
      </w:tblPr>
      <w:tblGrid>
        <w:gridCol w:w="3961"/>
        <w:gridCol w:w="346"/>
        <w:gridCol w:w="237"/>
        <w:gridCol w:w="880"/>
        <w:gridCol w:w="389"/>
        <w:gridCol w:w="237"/>
        <w:gridCol w:w="880"/>
        <w:gridCol w:w="346"/>
        <w:gridCol w:w="586"/>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515235" cy="175260"/>
                      <wp:effectExtent l="0" t="0" r="0" b="0"/>
                      <wp:wrapNone/>
                      <wp:docPr id="35" name="Frame35"/>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50495" cy="175260"/>
                      <wp:effectExtent l="0" t="0" r="0" b="0"/>
                      <wp:wrapNone/>
                      <wp:docPr id="37" name="Frame3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58800" cy="175260"/>
                      <wp:effectExtent l="0" t="0" r="0" b="0"/>
                      <wp:wrapNone/>
                      <wp:docPr id="38" name="Frame38"/>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47015" cy="175260"/>
                      <wp:effectExtent l="0" t="0" r="0" b="0"/>
                      <wp:wrapNone/>
                      <wp:docPr id="39" name="Frame39"/>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0495" cy="175260"/>
                      <wp:effectExtent l="0" t="0" r="0" b="0"/>
                      <wp:wrapNone/>
                      <wp:docPr id="40" name="Frame4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58800" cy="175260"/>
                      <wp:effectExtent l="0" t="0" r="0" b="0"/>
                      <wp:wrapNone/>
                      <wp:docPr id="41" name="Frame41"/>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72110" cy="175260"/>
                      <wp:effectExtent l="0" t="0" r="0" b="0"/>
                      <wp:wrapNone/>
                      <wp:docPr id="43" name="Frame4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0660" cy="175260"/>
                      <wp:effectExtent l="0" t="0" r="0" b="0"/>
                      <wp:wrapNone/>
                      <wp:docPr id="44" name="Frame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6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346" w:type="dxa"/>
            <w:tcBorders/>
            <w:vAlign w:val="center"/>
          </w:tcPr>
          <w:p>
            <w:pPr>
              <w:pStyle w:val="TableContents"/>
              <w:bidi w:val="0"/>
              <w:spacing w:before="0" w:after="1"/>
              <w:ind w:left="0" w:right="0" w:hanging="0"/>
              <w:jc w:val="left"/>
              <w:rPr/>
            </w:pPr>
            <w:r>
              <w:rPr/>
              <w:t>  ​ ​ ​</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Expenses:</w:t>
            </w:r>
          </w:p>
        </w:tc>
        <w:tc>
          <w:tcPr>
            <w:tcW w:w="346" w:type="dxa"/>
            <w:tcBorders/>
            <w:vAlign w:val="center"/>
          </w:tcPr>
          <w:p>
            <w:pPr>
              <w:pStyle w:val="TableContents"/>
              <w:bidi w:val="0"/>
              <w:spacing w:before="0" w:after="1"/>
              <w:ind w:left="0" w:right="0" w:hanging="0"/>
              <w:jc w:val="left"/>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9" w:type="dxa"/>
            <w:tcBorders/>
            <w:vAlign w:val="center"/>
          </w:tcPr>
          <w:p>
            <w:pPr>
              <w:pStyle w:val="TableContents"/>
              <w:bidi w:val="0"/>
              <w:spacing w:before="0" w:after="1"/>
              <w:ind w:left="0" w:right="0" w:hanging="0"/>
              <w:jc w:val="left"/>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 and fees</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149,277</w:t>
            </w:r>
          </w:p>
        </w:tc>
        <w:tc>
          <w:tcPr>
            <w:tcW w:w="38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135,280</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18,885</w:t>
            </w:r>
          </w:p>
        </w:tc>
        <w:tc>
          <w:tcPr>
            <w:tcW w:w="38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15,544</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c>
          <w:tcPr>
            <w:tcW w:w="38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2,265</w:t>
            </w:r>
          </w:p>
        </w:tc>
        <w:tc>
          <w:tcPr>
            <w:tcW w:w="38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6,971</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w:t>
            </w:r>
          </w:p>
        </w:tc>
        <w:tc>
          <w:tcPr>
            <w:tcW w:w="38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2,119</w:t>
            </w:r>
          </w:p>
        </w:tc>
        <w:tc>
          <w:tcPr>
            <w:tcW w:w="38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4,026</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8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7,186</w:t>
            </w:r>
          </w:p>
        </w:tc>
        <w:tc>
          <w:tcPr>
            <w:tcW w:w="389"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6,768</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lef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184,533</w:t>
            </w:r>
          </w:p>
        </w:tc>
        <w:tc>
          <w:tcPr>
            <w:tcW w:w="38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172,050</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2,611</w:t>
            </w:r>
          </w:p>
        </w:tc>
        <w:tc>
          <w:tcPr>
            <w:tcW w:w="38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(3,147)</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lef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88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8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w:t>
            </w:r>
          </w:p>
        </w:tc>
        <w:tc>
          <w:tcPr>
            <w:tcW w:w="389"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(4,562)</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center"/>
        <w:rPr>
          <w:smallCaps/>
        </w:rPr>
      </w:pPr>
      <w:r>
        <w:rPr>
          <w:small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primary source of revenue is from fees and commissions from products and advisory services offered by our advisors to their clients, a substantial portion of which we pay out to our advisors. We also generate interest income in accordance with our agreements with our clearing partners. In accordance with ASC 606, Revenue from Contracts with Customers, we record revenue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two types of commission revenues: sales-based commissions that are recognized at the point of sale on the trade date and trailing commissions that are recognized over time as earned. Sales-based commission revenues vary by investment product and are recognized on the trade date or the transaction date, which represents the completion of the Company’s performance obligation because that is when the underlying financial instrument or purchaser is identified, the pricing is agreed upon, and the risks and rewards of ownership have been transferred to/from the customer at a point in time. The rates at which commissions are charged to the customers range from 1% to 7% based on the investment product. Trailing commission revenues which are preliminarily related to the sales of mutual funds and variable annuities held by clients of the Company’s advisors are generally based on a percentage of the current market value of clients’ investment holdings in trail-eligible assets, and are recognized over the time the client owns the investment or holds the contract and is generally based on a fixed rate applied, generally twenty-five to fifty basis points (25-50 bps) of the current market value of the clients’ holdings. Trailing commissions are generally received monthly or quarterly. The ongoing revenue is not recognized at the time of sale because it is variably constrained due to factors outside the Company’s control including market volatility and the client’s investment hold period and the Company does not believe that it can overcome such constraints until the market value of the fund and the investor activities are known. The revenues will not be recognized until it is probable that a significant reversal will not occur.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principal for the commission revenue, as it is responsible for the execution of the clients’ purchases and sales and maintains relationships with the product sponsors. Advisors assist the Company in performing its obligations. Accordingly, total commission revenue is reported on a gross basis. See Note 5 — Revenues From Contracts with Customers within the notes to the audited consolidated financial statements for the years ended December 31, 2025, and 2024 for further details regarding our commission revenue by product category.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components of our commission revenue for years December 31, 2025 and 2024 (in thousands):</w:t>
      </w:r>
    </w:p>
    <w:p>
      <w:pPr>
        <w:pStyle w:val="TextBody"/>
        <w:bidi w:val="0"/>
        <w:spacing w:before="0" w:after="0"/>
        <w:ind w:left="0" w:right="0" w:hanging="0"/>
        <w:jc w:val="center"/>
        <w:rPr/>
      </w:pPr>
      <w:r>
        <w:rPr/>
        <w:t>​</w:t>
      </w:r>
    </w:p>
    <w:tbl>
      <w:tblPr>
        <w:tblW w:w="7910" w:type="dxa"/>
        <w:jc w:val="left"/>
        <w:tblInd w:w="0" w:type="dxa"/>
        <w:tblLayout w:type="fixed"/>
        <w:tblCellMar>
          <w:top w:w="0" w:type="dxa"/>
          <w:left w:w="0" w:type="dxa"/>
          <w:bottom w:w="0" w:type="dxa"/>
          <w:right w:w="0" w:type="dxa"/>
        </w:tblCellMar>
      </w:tblPr>
      <w:tblGrid>
        <w:gridCol w:w="2266"/>
        <w:gridCol w:w="346"/>
        <w:gridCol w:w="237"/>
        <w:gridCol w:w="880"/>
        <w:gridCol w:w="389"/>
        <w:gridCol w:w="237"/>
        <w:gridCol w:w="880"/>
        <w:gridCol w:w="346"/>
        <w:gridCol w:w="796"/>
        <w:gridCol w:w="346"/>
        <w:gridCol w:w="871"/>
        <w:gridCol w:w="31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38910" cy="175260"/>
                      <wp:effectExtent l="0" t="0" r="0" b="0"/>
                      <wp:wrapNone/>
                      <wp:docPr id="45" name="Frame45"/>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0495" cy="175260"/>
                      <wp:effectExtent l="0" t="0" r="0" b="0"/>
                      <wp:wrapNone/>
                      <wp:docPr id="47" name="Frame4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58800" cy="175260"/>
                      <wp:effectExtent l="0" t="0" r="0" b="0"/>
                      <wp:wrapNone/>
                      <wp:docPr id="48" name="Frame48"/>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47015" cy="175260"/>
                      <wp:effectExtent l="0" t="0" r="0" b="0"/>
                      <wp:wrapNone/>
                      <wp:docPr id="49" name="Frame49"/>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50495" cy="175260"/>
                      <wp:effectExtent l="0" t="0" r="0" b="0"/>
                      <wp:wrapNone/>
                      <wp:docPr id="50" name="Frame5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58800" cy="175260"/>
                      <wp:effectExtent l="0" t="0" r="0" b="0"/>
                      <wp:wrapNone/>
                      <wp:docPr id="51" name="Frame51"/>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05460" cy="175260"/>
                      <wp:effectExtent l="0" t="0" r="0" b="0"/>
                      <wp:wrapNone/>
                      <wp:docPr id="53" name="Frame5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53085" cy="175260"/>
                      <wp:effectExtent l="0" t="0" r="0" b="0"/>
                      <wp:wrapNone/>
                      <wp:docPr id="55" name="Frame5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0660" cy="175260"/>
                      <wp:effectExtent l="0" t="0" r="0" b="0"/>
                      <wp:wrapNone/>
                      <wp:docPr id="56" name="Frame5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9" w:type="dxa"/>
            <w:tcBorders/>
            <w:vAlign w:val="center"/>
          </w:tcPr>
          <w:p>
            <w:pPr>
              <w:pStyle w:val="TableContents"/>
              <w:bidi w:val="0"/>
              <w:spacing w:before="0" w:after="0"/>
              <w:ind w:left="0" w:right="0" w:hanging="0"/>
              <w:jc w:val="left"/>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Sales-based</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71,225</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62,827</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8,398</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Trailing</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82,215</w:t>
            </w:r>
          </w:p>
        </w:tc>
        <w:tc>
          <w:tcPr>
            <w:tcW w:w="38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76,625</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commission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153,440</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139,452</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13,988</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Sales based revenue increased by approximately $8.4 million or 13.4% for the year ended December 31, 2025 as compared to 2024. Trailing based revenue increased by approximately $5.6 million or 7.3% for the year ended December 31, 2025 as compared to 2024. The increase in sales based revenue for the year ended December 31, 2025 as compared to 2024 is attributable to an increase in the generation of transactional based products. The increase in the trailing based revenues is primarily due to volatility driven increases in trail eligible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Commission revenue is generated from brokerage assets. The following tables summarizes the brokerage assets for the years ended December 31, 2025 and 2024 (in billions):</w:t>
      </w:r>
    </w:p>
    <w:p>
      <w:pPr>
        <w:pStyle w:val="TextBody"/>
        <w:bidi w:val="0"/>
        <w:spacing w:before="0" w:after="240"/>
        <w:ind w:left="0" w:right="0" w:hanging="0"/>
        <w:jc w:val="center"/>
        <w:rPr/>
      </w:pPr>
      <w:r>
        <w:rPr/>
        <w:t>​</w:t>
      </w:r>
    </w:p>
    <w:tbl>
      <w:tblPr>
        <w:tblW w:w="3245" w:type="dxa"/>
        <w:jc w:val="left"/>
        <w:tblInd w:w="0" w:type="dxa"/>
        <w:tblLayout w:type="fixed"/>
        <w:tblCellMar>
          <w:top w:w="0" w:type="dxa"/>
          <w:left w:w="0" w:type="dxa"/>
          <w:bottom w:w="0" w:type="dxa"/>
          <w:right w:w="0" w:type="dxa"/>
        </w:tblCellMar>
      </w:tblPr>
      <w:tblGrid>
        <w:gridCol w:w="1516"/>
        <w:gridCol w:w="346"/>
        <w:gridCol w:w="466"/>
        <w:gridCol w:w="346"/>
        <w:gridCol w:w="57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62660" cy="175260"/>
                      <wp:effectExtent l="0" t="0" r="0" b="0"/>
                      <wp:wrapNone/>
                      <wp:docPr id="57" name="Frame5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95910" cy="175260"/>
                      <wp:effectExtent l="0" t="0" r="0" b="0"/>
                      <wp:wrapNone/>
                      <wp:docPr id="59" name="Frame5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585" cy="175260"/>
                      <wp:effectExtent l="0" t="0" r="0" b="0"/>
                      <wp:wrapNone/>
                      <wp:docPr id="61" name="Frame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8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Brokerage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24.5</w:t>
            </w:r>
          </w:p>
        </w:tc>
      </w:tr>
    </w:tbl>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Included in the brokerage assets above are trail-eligible assets as follows:</w:t>
      </w:r>
    </w:p>
    <w:p>
      <w:pPr>
        <w:pStyle w:val="TextBody"/>
        <w:bidi w:val="0"/>
        <w:spacing w:before="0" w:after="240"/>
        <w:ind w:left="0" w:right="0" w:hanging="0"/>
        <w:jc w:val="center"/>
        <w:rPr/>
      </w:pPr>
      <w:r>
        <w:rPr/>
        <w:t>​</w:t>
      </w:r>
    </w:p>
    <w:tbl>
      <w:tblPr>
        <w:tblW w:w="3515" w:type="dxa"/>
        <w:jc w:val="left"/>
        <w:tblInd w:w="0" w:type="dxa"/>
        <w:tblLayout w:type="fixed"/>
        <w:tblCellMar>
          <w:top w:w="0" w:type="dxa"/>
          <w:left w:w="0" w:type="dxa"/>
          <w:bottom w:w="0" w:type="dxa"/>
          <w:right w:w="0" w:type="dxa"/>
        </w:tblCellMar>
      </w:tblPr>
      <w:tblGrid>
        <w:gridCol w:w="1786"/>
        <w:gridCol w:w="346"/>
        <w:gridCol w:w="466"/>
        <w:gridCol w:w="346"/>
        <w:gridCol w:w="57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34110" cy="175260"/>
                      <wp:effectExtent l="0" t="0" r="0" b="0"/>
                      <wp:wrapNone/>
                      <wp:docPr id="62" name="Frame62"/>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95910" cy="175260"/>
                      <wp:effectExtent l="0" t="0" r="0" b="0"/>
                      <wp:wrapNone/>
                      <wp:docPr id="64" name="Frame6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62585" cy="175260"/>
                      <wp:effectExtent l="0" t="0" r="0" b="0"/>
                      <wp:wrapNone/>
                      <wp:docPr id="66" name="Frame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8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w: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Trail-Eligible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17.9</w:t>
            </w:r>
          </w:p>
        </w:tc>
      </w:tr>
    </w:tbl>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brokerage assets for the years ended:</w:t>
      </w:r>
    </w:p>
    <w:p>
      <w:pPr>
        <w:pStyle w:val="TextBody"/>
        <w:bidi w:val="0"/>
        <w:spacing w:before="0" w:after="240"/>
        <w:ind w:left="0" w:right="0" w:hanging="0"/>
        <w:jc w:val="center"/>
        <w:rPr/>
      </w:pPr>
      <w:r>
        <w:rPr/>
        <w:t>​</w:t>
      </w:r>
    </w:p>
    <w:tbl>
      <w:tblPr>
        <w:tblW w:w="4370" w:type="dxa"/>
        <w:jc w:val="left"/>
        <w:tblInd w:w="0" w:type="dxa"/>
        <w:tblLayout w:type="fixed"/>
        <w:tblCellMar>
          <w:top w:w="0" w:type="dxa"/>
          <w:left w:w="0" w:type="dxa"/>
          <w:bottom w:w="0" w:type="dxa"/>
          <w:right w:w="0" w:type="dxa"/>
        </w:tblCellMar>
      </w:tblPr>
      <w:tblGrid>
        <w:gridCol w:w="2626"/>
        <w:gridCol w:w="346"/>
        <w:gridCol w:w="481"/>
        <w:gridCol w:w="346"/>
        <w:gridCol w:w="57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67510" cy="175260"/>
                      <wp:effectExtent l="0" t="0" r="0" b="0"/>
                      <wp:wrapNone/>
                      <wp:docPr id="67" name="Frame67"/>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05435" cy="175260"/>
                      <wp:effectExtent l="0" t="0" r="0" b="0"/>
                      <wp:wrapNone/>
                      <wp:docPr id="69" name="Frame6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62585" cy="175260"/>
                      <wp:effectExtent l="0" t="0" r="0" b="0"/>
                      <wp:wrapNone/>
                      <wp:docPr id="71" name="Frame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9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26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new brokerage assets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6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Market impact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24.5</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brokerage assets consist of total client deposits less client withdrawals from brokerage accounts, plus dividends, plus interest.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These fees are recognized ratably over time to match the continued delivery of the performance obligations to the client over the life of the contract. The advisory fees generated from the Company’s corporate advisory platform are based on a percentage of the market value of the eligible assets in the clients’ advisory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increased by approximately 16% for the year ended December 31, 2025 as compared to December 31, 2024, due to the positive impact from the financial markets.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summarizes the advisory assets for the years ended December 31, 2025 and 2024 (in billions):</w:t>
      </w:r>
    </w:p>
    <w:p>
      <w:pPr>
        <w:pStyle w:val="TextBody"/>
        <w:bidi w:val="0"/>
        <w:spacing w:before="0" w:after="240"/>
        <w:ind w:left="0" w:right="0" w:hanging="0"/>
        <w:jc w:val="center"/>
        <w:rPr/>
      </w:pPr>
      <w:r>
        <w:rPr/>
        <w:t>​</w:t>
      </w:r>
    </w:p>
    <w:tbl>
      <w:tblPr>
        <w:tblW w:w="3095" w:type="dxa"/>
        <w:jc w:val="left"/>
        <w:tblInd w:w="0" w:type="dxa"/>
        <w:tblLayout w:type="fixed"/>
        <w:tblCellMar>
          <w:top w:w="0" w:type="dxa"/>
          <w:left w:w="0" w:type="dxa"/>
          <w:bottom w:w="0" w:type="dxa"/>
          <w:right w:w="0" w:type="dxa"/>
        </w:tblCellMar>
      </w:tblPr>
      <w:tblGrid>
        <w:gridCol w:w="1426"/>
        <w:gridCol w:w="346"/>
        <w:gridCol w:w="466"/>
        <w:gridCol w:w="346"/>
        <w:gridCol w:w="511"/>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05510" cy="175260"/>
                      <wp:effectExtent l="0" t="0" r="0" b="0"/>
                      <wp:wrapNone/>
                      <wp:docPr id="72" name="Frame72"/>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95910" cy="175260"/>
                      <wp:effectExtent l="0" t="0" r="0" b="0"/>
                      <wp:wrapNone/>
                      <wp:docPr id="74" name="Frame7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24485" cy="175260"/>
                      <wp:effectExtent l="0" t="0" r="0" b="0"/>
                      <wp:wrapNone/>
                      <wp:docPr id="76" name="Frame7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Assets</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activity impacting advisory assets for the years ended:</w:t>
      </w:r>
    </w:p>
    <w:p>
      <w:pPr>
        <w:pStyle w:val="TextBody"/>
        <w:bidi w:val="0"/>
        <w:spacing w:before="0" w:after="240"/>
        <w:ind w:left="0" w:right="0" w:hanging="0"/>
        <w:jc w:val="center"/>
        <w:rPr/>
      </w:pPr>
      <w:r>
        <w:rPr/>
        <w:t>​</w:t>
      </w:r>
    </w:p>
    <w:tbl>
      <w:tblPr>
        <w:tblW w:w="4295" w:type="dxa"/>
        <w:jc w:val="left"/>
        <w:tblInd w:w="0" w:type="dxa"/>
        <w:tblLayout w:type="fixed"/>
        <w:tblCellMar>
          <w:top w:w="0" w:type="dxa"/>
          <w:left w:w="0" w:type="dxa"/>
          <w:bottom w:w="0" w:type="dxa"/>
          <w:right w:w="0" w:type="dxa"/>
        </w:tblCellMar>
      </w:tblPr>
      <w:tblGrid>
        <w:gridCol w:w="2626"/>
        <w:gridCol w:w="346"/>
        <w:gridCol w:w="466"/>
        <w:gridCol w:w="346"/>
        <w:gridCol w:w="51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67510" cy="175260"/>
                      <wp:effectExtent l="0" t="0" r="0" b="0"/>
                      <wp:wrapNone/>
                      <wp:docPr id="77" name="Frame77"/>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95910" cy="175260"/>
                      <wp:effectExtent l="0" t="0" r="0" b="0"/>
                      <wp:wrapNone/>
                      <wp:docPr id="79" name="Frame7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24485" cy="175260"/>
                      <wp:effectExtent l="0" t="0" r="0" b="0"/>
                      <wp:wrapNone/>
                      <wp:docPr id="81" name="Frame8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Beginning of period</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6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new advisory assets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26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Market impact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 End of period</w:t>
            </w:r>
          </w:p>
        </w:tc>
        <w:tc>
          <w:tcPr>
            <w:tcW w:w="34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new advisory assets consist of total client deposits less client withdrawals from custodial accounts, plus dividends, plus interest, minus advisory fees.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impact is the difference between the beginning and ending asset balances less the net new asset amounts, representing the implied growth or decline in asset balances due to market change over the same period of time.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includes amounts earned on balances held at the Company’s clearing brokers related to cash balances and margin balances. The Company’s clearing agreements include provisions that provide for a sharing of the interest income earned on such balances with the clearing brokers. The rate varies based on the clearing broker.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primarily includes amounts earned by the Company related to marketing and incentives earned from the sales of certain investment products by the financial advisors to its clients, primarily alternative investments, as well as sponsorship income.</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interest and other income for the year ended December 31, 2025, compared to 2024, is primarily related to the increase in the interest income it earns with the Company’s clearing brokers.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 and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Commissions and fees primarily consist of commissions paid to the financial advisors, technology costs associated with the platform for which the financial advisors operate their business, insurance costs and regulatory costs. Certain of the technology, insurance and regulatory costs are passed through to the financial advisors and any excess costs are included as fees within commissions and fees. The commissions and fees paid to the financial advisors are based on the advisory and commission revenue earned on each client’s account. The payout amount is production based, which is the gross revenue produced by the financial advisor, and varies based on the level of such production ranging from 50% to 95% of the revenue generated. The production levels begin at gross revenue of $15,000 up to $4,000,000 and up, and the payout rate starts at 50% and increases to a top payout rate of 94% for annual production of $4,000,000 and up.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payout rate, which is a statistical or operating measure and monitored to review that such costs of revenue remain consistent on a period over period basis:</w:t>
      </w:r>
    </w:p>
    <w:p>
      <w:pPr>
        <w:pStyle w:val="TextBody"/>
        <w:bidi w:val="0"/>
        <w:spacing w:before="0" w:after="240"/>
        <w:ind w:left="0" w:right="0" w:hanging="0"/>
        <w:jc w:val="center"/>
        <w:rPr/>
      </w:pPr>
      <w:r>
        <w:rPr/>
        <w:t>​</w:t>
      </w:r>
    </w:p>
    <w:tbl>
      <w:tblPr>
        <w:tblW w:w="5584" w:type="dxa"/>
        <w:jc w:val="left"/>
        <w:tblInd w:w="0" w:type="dxa"/>
        <w:tblLayout w:type="fixed"/>
        <w:tblCellMar>
          <w:top w:w="0" w:type="dxa"/>
          <w:left w:w="0" w:type="dxa"/>
          <w:bottom w:w="0" w:type="dxa"/>
          <w:right w:w="0" w:type="dxa"/>
        </w:tblCellMar>
      </w:tblPr>
      <w:tblGrid>
        <w:gridCol w:w="1186"/>
        <w:gridCol w:w="346"/>
        <w:gridCol w:w="997"/>
        <w:gridCol w:w="630"/>
        <w:gridCol w:w="997"/>
        <w:gridCol w:w="361"/>
        <w:gridCol w:w="661"/>
        <w:gridCol w:w="406"/>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53110" cy="175260"/>
                      <wp:effectExtent l="0" t="0" r="0" b="0"/>
                      <wp:wrapNone/>
                      <wp:docPr id="82" name="Frame8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33095" cy="175260"/>
                      <wp:effectExtent l="0" t="0" r="0" b="0"/>
                      <wp:wrapNone/>
                      <wp:docPr id="84" name="Frame84"/>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00050" cy="175260"/>
                      <wp:effectExtent l="0" t="0" r="0" b="0"/>
                      <wp:wrapNone/>
                      <wp:docPr id="85" name="Frame85"/>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33095" cy="175260"/>
                      <wp:effectExtent l="0" t="0" r="0" b="0"/>
                      <wp:wrapNone/>
                      <wp:docPr id="86" name="Frame86"/>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29235" cy="175260"/>
                      <wp:effectExtent l="0" t="0" r="0" b="0"/>
                      <wp:wrapNone/>
                      <wp:docPr id="87" name="Frame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19735" cy="175260"/>
                      <wp:effectExtent l="0" t="0" r="0" b="0"/>
                      <wp:wrapNone/>
                      <wp:docPr id="88" name="Frame8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57810" cy="175260"/>
                      <wp:effectExtent l="0" t="0" r="0" b="0"/>
                      <wp:wrapNone/>
                      <wp:docPr id="89" name="Frame8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361"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center"/>
              <w:rPr/>
            </w:pPr>
            <w:r>
              <w:rPr/>
              <w:t> </w:t>
            </w:r>
          </w:p>
        </w:tc>
      </w:tr>
      <w:tr>
        <w:trPr/>
        <w:tc>
          <w:tcPr>
            <w:tcW w:w="1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30" w:type="dxa"/>
            <w:tcBorders/>
            <w:vAlign w:val="center"/>
          </w:tcPr>
          <w:p>
            <w:pPr>
              <w:pStyle w:val="TableContents"/>
              <w:bidi w:val="0"/>
              <w:spacing w:before="0" w:after="1"/>
              <w:ind w:left="0" w:right="0" w:hanging="0"/>
              <w:jc w:val="left"/>
              <w:rPr/>
            </w:pPr>
            <w:r>
              <w:rPr/>
              <w:t>  ​ ​ ​</w:t>
            </w:r>
          </w:p>
        </w:tc>
        <w:tc>
          <w:tcPr>
            <w:tcW w:w="99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1"/>
              <w:ind w:left="0" w:right="0" w:hanging="0"/>
              <w:jc w:val="center"/>
              <w:rPr/>
            </w:pPr>
            <w:r>
              <w:rPr/>
              <w:t> </w:t>
            </w:r>
          </w:p>
        </w:tc>
      </w:tr>
      <w:tr>
        <w:trPr/>
        <w:tc>
          <w:tcPr>
            <w:tcW w:w="11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Payout range</w:t>
            </w:r>
          </w:p>
        </w:tc>
        <w:tc>
          <w:tcPr>
            <w:tcW w:w="346" w:type="dxa"/>
            <w:tcBorders/>
            <w:shd w:fill="CCEEFF" w:val="clear"/>
            <w:vAlign w:val="center"/>
          </w:tcPr>
          <w:p>
            <w:pPr>
              <w:pStyle w:val="TableContents"/>
              <w:bidi w:val="0"/>
              <w:spacing w:before="0" w:after="1"/>
              <w:ind w:left="0" w:right="0" w:hanging="0"/>
              <w:jc w:val="left"/>
              <w:rPr/>
            </w:pPr>
            <w:r>
              <w:rPr/>
              <w:t> </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75.37</w:t>
            </w:r>
          </w:p>
        </w:tc>
        <w:tc>
          <w:tcPr>
            <w:tcW w:w="6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2025, the payout rate remained consistent as compared to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 compensation and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 compensation and benefits includes salaries, wages, benefits and related taxes for our 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 compensation and benefits for the year ended December 31, 2025 increased by approximately $3.3 million which is directly related to the additional personnel costs attributed to the Company now operating as a public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Rent and occupancy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Rent and occupancy remained relatively consistent for the year ended December 31, 2025 compared to 2024, decreasing by 0.8% or $0.01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Professional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includes costs incurred related to legal and accounting services. Professional fees for the year ended December 31, 2025 as compared to 2024 decreased by $4.7 million which is directly related to non-recurring transaction costs associated with the Business Combination that was incurred during the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Technology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Technology fees primarily represent infrastructure costs that support the Company’s technology and communications costs. Technology fees increased by approximately $1.7 million for the year ended December 31, 2025 as compared to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primarily includes interest associated with the Company’s credit facility and other debt obligations. Interest expense decreased by $1.9 million for the year ended December 31, 2025 as compared to 2024, as a result of scheduled repayments as well as the restructuring of related party debt obligations of BMS, re-financing of the senior credit facility and the reduction of interest rates that occurred during the second half of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Depreciation and amortization relates to the use of property, equipment and leasehold improvements. Amortization also includes the amortization related to certain intangible assets.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expense includes insurance, legal and regulatory settlements, travel-related expenses, office expenses, marketing and other miscellaneous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effective income tax rate was 10.6% and (45.1)% for the years ended December 31, 2025 and 2024, respectively. The change in our effective tax rate was primarily related to generation of taxable income for the year ending December 31, 2025 as opposed to a taxable loss incurred during the year ending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established liquidity policies intended to support the execution of strategic initiatives, while meeting regulatory capital requirements and maintaining ongoing and sufficient liquidity. We believe liquidity is of critical importance to the Company and, in particular, to our broker-dealer subsidiaries, PKSI, CLS, MSI and WEG. The objective of our policies is to ensure that we can meet our strategic, operational and regulatory liquidity and capital requirements under both normal operating conditions and under periods of stress in the financial markets.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Parent Company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Binah Capital Group, Inc., through its indirectly wholly owned subsidiary BMS, is the direct holding company of our operating subsidiaries, considers its primary sources of liquidity to be dividends and management fees from our operating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had $17.7 million outstanding under our Credit Agreement with Byline Bank, net of unamortized debt issuance costs. The associated debt facilities are as follows: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Byline Bank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the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(a) the one year from the Credit Agreement Closing Date and (b) the date on which the Non-Revolving Loans are fully drawn. As of December 31, 2025 and 2024, the outstanding balance on the Term Loan was $17.7 million and $19.6 million, net of debt issuance costs,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the Company requests a Letter of Credit, the Non-Revolving Loan Commitment shall be permanently reduced in an amount equal to the amount of such Letter of Credit. The Non-Revolving Loans may not be requested by the Company and may only be advanced in connection with a repayment of a Letter of Credit (“LC Payment”). As of December 31, 2025 and 2024 there are no amounts outstanding under the Non-Revolving Loan or Letters of Credit.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Loans (both principal and any remaining unpaid interest) made by the Lender to BMS are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SOFR plus four percent (4.00%) per annum; and (iii) if any other obligations is created under the Loan Documents (as defined in the Credit Agreement), at the Term Loan Interest Rate. As of December 31, 2025 and 2024, the effective interest rate was 7.9% and 8.3%,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interest rate swap liability had a fair value of $0.2 million and is included in accounts payable, accrued expenses and other liabilities on the consolidated statement of financial condition. The Company has adopted the shortcut method allowing it to assume perfect hedge effectiveness. Changes in the effective portion of the swap’s fair value are recognized in other comprehensive income (loss) (“OCI”) and included on the consolidated statements of other comprehensive income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 Loan was used by BMS to refinance Existing Credit Facilities (as defined in the Credit Agreement) and the Non-Revolving Loans must be used solely to reimburse the Lender with respect to any Letters of Credit issued to BMS.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Credit Agreement also includes customary covenants for a transaction of this type, including covenants limiting the indebtedness that can be incurred by BMS and restricting BMS’s ability to make certain loans and investments. Additionally, BMS is subject to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in accordance with the Credit Agreement, BMS has deposited $1.0 million into an A/P Reserve Account and is classified as restricted cash.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minimum calendar year payments and maturities of the Byline Term Loan as of December 31, 2025 were as follows (</w:t>
      </w:r>
      <w:r>
        <w:rPr>
          <w:rFonts w:ascii="Times New Roman;Times;serif" w:hAnsi="Times New Roman;Times;serif"/>
          <w:b/>
          <w:sz w:val="20"/>
        </w:rPr>
        <w:t>in thousands</w:t>
      </w:r>
      <w:r>
        <w:rPr>
          <w:rFonts w:ascii="Times New Roman;Times;serif" w:hAnsi="Times New Roman;Times;serif"/>
          <w:sz w:val="20"/>
        </w:rPr>
        <w:t>)</w:t>
      </w:r>
      <w:r>
        <w:rPr>
          <w:rFonts w:ascii="Times New Roman;Times;serif" w:hAnsi="Times New Roman;Times;serif"/>
          <w:b/>
          <w:sz w:val="20"/>
        </w:rPr>
        <w:t>:</w:t>
      </w:r>
    </w:p>
    <w:tbl>
      <w:tblPr>
        <w:tblW w:w="1894" w:type="dxa"/>
        <w:jc w:val="left"/>
        <w:tblInd w:w="0" w:type="dxa"/>
        <w:tblLayout w:type="fixed"/>
        <w:tblCellMar>
          <w:top w:w="0" w:type="dxa"/>
          <w:left w:w="0" w:type="dxa"/>
          <w:bottom w:w="0" w:type="dxa"/>
          <w:right w:w="0" w:type="dxa"/>
        </w:tblCellMar>
      </w:tblPr>
      <w:tblGrid>
        <w:gridCol w:w="556"/>
        <w:gridCol w:w="346"/>
        <w:gridCol w:w="211"/>
        <w:gridCol w:w="78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53060" cy="175260"/>
                      <wp:effectExtent l="0" t="0" r="0" b="0"/>
                      <wp:wrapNone/>
                      <wp:docPr id="90" name="Frame9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3" name="Frame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w:t>
            </w:r>
          </w:p>
        </w:tc>
      </w:tr>
      <w:tr>
        <w:trPr/>
        <w:tc>
          <w:tcPr>
            <w:tcW w:w="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10,149</w:t>
            </w:r>
          </w:p>
        </w:tc>
      </w:tr>
      <w:tr>
        <w:trPr/>
        <w:tc>
          <w:tcPr>
            <w:tcW w:w="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18,269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Series A Redeemable Convertible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“Funding Date”) in connection with the consummation of the Business Combination, Holdings and BMS entered into a Subscription Agreement with an investor for the purchase of 1,500,000 shares of Holdings’ Series A Redeemable 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 million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December 31, 2025, the Company accrued 50% of the dividend to be paid in cash in the amount of $0.2 million and paid an in-kind dividend in the amount of $0.2 million. As of December 31, 2024, the Company accrued 50% of the dividend to be paid in cash in the approximate amount of $0.2 million. For the years ended December 31, 2025 and 2024, the Company paid dividends under the Series A Stock in the amount of approximately $1.4 million and $1.1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Holdings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greater of $12.50 per share of Holdings Series A Stock if such liquidation occurs prior to the first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Holdings Series A Stock if such liquidation occurs prior to the second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Holdings Series A Stock if such liquidation occurs prior to the third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Holdings Series A Stock if such liquidation occurs prior to the fourth anniversary of the Funding Date.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Holdings, at its option, may redeem the Series A Stock on any anniversary of the Funding date up to an including the fourth anniversary of the Funding date at the following redemption prices:</w:t>
      </w:r>
    </w:p>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per share of Series A Stock on the first anniversary of the Funding Date;</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per share of Series A Stock on the second anniversary of the Funding Date;</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per share of Series A Stock on the third anniversary of the Funding Date;</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 per share of Series A Stock on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Holdings on the fourth anniversary of the Funding Date.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Series B Convertible Preferred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(the “</w:t>
      </w:r>
      <w:r>
        <w:rPr>
          <w:rFonts w:ascii="Times New Roman;Times;serif" w:hAnsi="Times New Roman;Times;serif"/>
          <w:b/>
          <w:i/>
          <w:sz w:val="20"/>
        </w:rPr>
        <w:t>Holdings Series B Stock</w:t>
      </w:r>
      <w:r>
        <w:rPr>
          <w:rFonts w:ascii="Times New Roman;Times;serif" w:hAnsi="Times New Roman;Times;serif"/>
          <w:sz w:val="20"/>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 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December 31, 2025 and 2024, included in accounts payable, accrued expenses and other liabilities on the accompanying consolidated statements of financial condition, is an accrued dividend in the amount $0.03 and $0.03, respectively, that was paid subsequent to December 31, 2025 and 2024. For the year ended December 31, 2025 and 2024 total dividends related to the Holdings Series B Stock amounted to approximately $0.1 million and $0.03 million,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Promissory notes - affiliates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30, 2017, BMS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 or restructured.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in connection with the acquisition of the PKSH Entities, BMS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paid or restructured.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closing of the Business Combination, the Company paid approximately $3.5 million on these notes. In addition to the paydown, the noteholders agreed to forgive the remaining accrued but unpaid interest of approximately $3.8 million and entered into new promissory notes in the principal amount of approximately $5.3 million in the aggregate, which remain outstanding as of December 31, 2025 and 2024. The terms of these new promissory notes provide for maturity on May 15, 2027 and carries an interest rate of Prime plus 1.00%, but no less than 7.50% per annum. Related interest was approximately $0.5 million and $0.4 million for the years ended December 31,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cash flows for the years ended December 31, 2025 and 2024:</w:t>
      </w:r>
    </w:p>
    <w:p>
      <w:pPr>
        <w:pStyle w:val="TextBody"/>
        <w:bidi w:val="0"/>
        <w:spacing w:before="0" w:after="240"/>
        <w:ind w:left="0" w:right="0" w:hanging="0"/>
        <w:jc w:val="center"/>
        <w:rPr/>
      </w:pPr>
      <w:r>
        <w:rPr/>
        <w:t>​</w:t>
      </w:r>
    </w:p>
    <w:tbl>
      <w:tblPr>
        <w:tblW w:w="6637" w:type="dxa"/>
        <w:jc w:val="left"/>
        <w:tblInd w:w="0" w:type="dxa"/>
        <w:tblLayout w:type="fixed"/>
        <w:tblCellMar>
          <w:top w:w="0" w:type="dxa"/>
          <w:left w:w="0" w:type="dxa"/>
          <w:bottom w:w="0" w:type="dxa"/>
          <w:right w:w="0" w:type="dxa"/>
        </w:tblCellMar>
      </w:tblPr>
      <w:tblGrid>
        <w:gridCol w:w="4216"/>
        <w:gridCol w:w="346"/>
        <w:gridCol w:w="211"/>
        <w:gridCol w:w="691"/>
        <w:gridCol w:w="346"/>
        <w:gridCol w:w="211"/>
        <w:gridCol w:w="61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677160" cy="175260"/>
                      <wp:effectExtent l="0" t="0" r="0" b="0"/>
                      <wp:wrapNone/>
                      <wp:docPr id="94" name="Frame9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38785" cy="175260"/>
                      <wp:effectExtent l="0" t="0" r="0" b="0"/>
                      <wp:wrapNone/>
                      <wp:docPr id="97" name="Frame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91160" cy="175260"/>
                      <wp:effectExtent l="0" t="0" r="0" b="0"/>
                      <wp:wrapNone/>
                      <wp:docPr id="100" name="Frame10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4216" w:type="dxa"/>
            <w:tcBorders>
              <w:bottom w:val="single" w:sz="2" w:space="0" w:color="CCEEFF"/>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flows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Cash Flows from Operating Activities. </w:t>
      </w:r>
      <w:r>
        <w:rPr>
          <w:rFonts w:ascii="Times New Roman;Times;serif" w:hAnsi="Times New Roman;Times;serif"/>
          <w:sz w:val="20"/>
        </w:rPr>
        <w:t>Net cash provided by operating activities was approximately $5.1 million for the year ended December 31, 2025 compared to net cash used in operating activities of $0.6 million for the year ended December 31, 2024, representing an increase of approximately $5.7 million or 934%. The increase was primarily attributable to the decrease in the net loss incurred for the year ended December 31, 2024 of approximately $6.4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Cash Flows from Investing Activities. </w:t>
      </w:r>
      <w:r>
        <w:rPr>
          <w:rFonts w:ascii="Times New Roman;Times;serif" w:hAnsi="Times New Roman;Times;serif"/>
          <w:sz w:val="20"/>
        </w:rPr>
        <w:t>Net cash used in investing activities was approximately $0.06 million for the year ended December 31, 2025 consistent with the $0.08 million for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Cash Flows from Financing Activities. </w:t>
      </w:r>
      <w:r>
        <w:rPr>
          <w:rFonts w:ascii="Times New Roman;Times;serif" w:hAnsi="Times New Roman;Times;serif"/>
          <w:sz w:val="20"/>
        </w:rPr>
        <w:t>Net cash used in financing activities was approximately $2.9 million for the year ended December 31, 2025 compared to cash provided by financing activities of approximately $1.6 million for the year ended December 31, 2024. The change is primarily related to the proceeds from the preferred financings during the year ended December 31, 2024 offset by the repayments of the BMS related party debt obligations, principal payments related to the senior credit facility and the payment of dividends to the Class A and Class B preferred stockholders.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contractual obligations and other commitments as of December 31, 2025:</w:t>
      </w:r>
    </w:p>
    <w:p>
      <w:pPr>
        <w:pStyle w:val="TextBody"/>
        <w:bidi w:val="0"/>
        <w:spacing w:before="0" w:after="240"/>
        <w:ind w:left="0" w:right="0" w:hanging="0"/>
        <w:jc w:val="center"/>
        <w:rPr/>
      </w:pPr>
      <w:r>
        <w:rPr/>
        <w:t>​</w:t>
      </w:r>
    </w:p>
    <w:tbl>
      <w:tblPr>
        <w:tblW w:w="9822" w:type="dxa"/>
        <w:jc w:val="left"/>
        <w:tblInd w:w="0" w:type="dxa"/>
        <w:tblLayout w:type="fixed"/>
        <w:tblCellMar>
          <w:top w:w="0" w:type="dxa"/>
          <w:left w:w="0" w:type="dxa"/>
          <w:bottom w:w="0" w:type="dxa"/>
          <w:right w:w="0" w:type="dxa"/>
        </w:tblCellMar>
      </w:tblPr>
      <w:tblGrid>
        <w:gridCol w:w="2566"/>
        <w:gridCol w:w="346"/>
        <w:gridCol w:w="211"/>
        <w:gridCol w:w="676"/>
        <w:gridCol w:w="346"/>
        <w:gridCol w:w="356"/>
        <w:gridCol w:w="965"/>
        <w:gridCol w:w="346"/>
        <w:gridCol w:w="214"/>
        <w:gridCol w:w="687"/>
        <w:gridCol w:w="346"/>
        <w:gridCol w:w="214"/>
        <w:gridCol w:w="687"/>
        <w:gridCol w:w="346"/>
        <w:gridCol w:w="483"/>
        <w:gridCol w:w="1033"/>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29410" cy="175260"/>
                      <wp:effectExtent l="0" t="0" r="0" b="0"/>
                      <wp:wrapNone/>
                      <wp:docPr id="101" name="Frame10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26060" cy="175260"/>
                      <wp:effectExtent l="0" t="0" r="0" b="0"/>
                      <wp:wrapNone/>
                      <wp:docPr id="106" name="Frame10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12775" cy="175260"/>
                      <wp:effectExtent l="0" t="0" r="0" b="0"/>
                      <wp:wrapNone/>
                      <wp:docPr id="107" name="Frame107"/>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5890" cy="175260"/>
                      <wp:effectExtent l="0" t="0" r="0" b="0"/>
                      <wp:wrapNone/>
                      <wp:docPr id="109" name="Frame10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36245" cy="175260"/>
                      <wp:effectExtent l="0" t="0" r="0" b="0"/>
                      <wp:wrapNone/>
                      <wp:docPr id="110" name="Frame110"/>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5890" cy="175260"/>
                      <wp:effectExtent l="0" t="0" r="0" b="0"/>
                      <wp:wrapNone/>
                      <wp:docPr id="112" name="Frame11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36245" cy="175260"/>
                      <wp:effectExtent l="0" t="0" r="0" b="0"/>
                      <wp:wrapNone/>
                      <wp:docPr id="113" name="Frame113"/>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06705" cy="175260"/>
                      <wp:effectExtent l="0" t="0" r="0" b="0"/>
                      <wp:wrapNone/>
                      <wp:docPr id="115" name="Frame115"/>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55955" cy="175260"/>
                      <wp:effectExtent l="0" t="0" r="0" b="0"/>
                      <wp:wrapNone/>
                      <wp:docPr id="116" name="Frame116"/>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0"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1 - 3 Years</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3 - 5 Years</w:t>
            </w:r>
          </w:p>
        </w:tc>
        <w:tc>
          <w:tcPr>
            <w:tcW w:w="346" w:type="dxa"/>
            <w:tcBorders/>
            <w:vAlign w:val="center"/>
          </w:tcPr>
          <w:p>
            <w:pPr>
              <w:pStyle w:val="TableContents"/>
              <w:bidi w:val="0"/>
              <w:spacing w:before="0" w:after="1"/>
              <w:ind w:left="0" w:right="0" w:hanging="0"/>
              <w:jc w:val="left"/>
              <w:rPr/>
            </w:pPr>
            <w:r>
              <w:rPr/>
              <w:t>  ​ ​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 5 Years</w:t>
            </w:r>
          </w:p>
        </w:tc>
      </w:tr>
      <w:tr>
        <w:trPr/>
        <w:tc>
          <w:tcPr>
            <w:tcW w:w="9822"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46" w:type="dxa"/>
            <w:tcBorders/>
            <w:vAlign w:val="center"/>
          </w:tcPr>
          <w:p>
            <w:pPr>
              <w:pStyle w:val="TableContents"/>
              <w:bidi w:val="0"/>
              <w:spacing w:before="0" w:after="1"/>
              <w:ind w:left="0" w:right="0" w:hanging="0"/>
              <w:jc w:val="left"/>
              <w:rPr/>
            </w:pPr>
            <w:r>
              <w:rPr/>
              <w:t>​</w:t>
            </w:r>
          </w:p>
        </w:tc>
        <w:tc>
          <w:tcPr>
            <w:tcW w:w="6910"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Long-term debt obligations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18,269</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10,149</w:t>
            </w:r>
          </w:p>
        </w:tc>
        <w:tc>
          <w:tcPr>
            <w:tcW w:w="346" w:type="dxa"/>
            <w:tcBorders/>
            <w:shd w:fill="CCEEFF" w:val="clear"/>
            <w:vAlign w:val="center"/>
          </w:tcPr>
          <w:p>
            <w:pPr>
              <w:pStyle w:val="TableContents"/>
              <w:bidi w:val="0"/>
              <w:spacing w:before="0" w:after="1"/>
              <w:ind w:left="0" w:right="0" w:hanging="0"/>
              <w:jc w:val="left"/>
              <w:rPr/>
            </w:pPr>
            <w:r>
              <w:rPr/>
              <w:t>​</w:t>
            </w:r>
          </w:p>
        </w:tc>
        <w:tc>
          <w:tcPr>
            <w:tcW w:w="4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1"/>
              <w:ind w:left="0" w:right="0" w:hanging="0"/>
              <w:jc w:val="right"/>
              <w:rPr/>
            </w:pPr>
            <w:r>
              <w:rPr/>
              <w:t>—</w:t>
            </w:r>
          </w:p>
        </w:tc>
      </w:tr>
      <w:tr>
        <w:trPr/>
        <w:tc>
          <w:tcPr>
            <w:tcW w:w="25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Promissory notes – affiliates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9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3"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pPr>
            <w:r>
              <w:rPr/>
              <w:t>—</w:t>
            </w:r>
          </w:p>
        </w:tc>
      </w:tr>
      <w:tr>
        <w:trPr/>
        <w:tc>
          <w:tcPr>
            <w:tcW w:w="25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Operating lease obligations</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4,239</w:t>
            </w:r>
          </w:p>
        </w:tc>
        <w:tc>
          <w:tcPr>
            <w:tcW w:w="346" w:type="dxa"/>
            <w:tcBorders/>
            <w:shd w:fill="CCEEFF" w:val="cle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CCEEFF" w:val="clear"/>
            <w:vAlign w:val="center"/>
          </w:tcPr>
          <w:p>
            <w:pPr>
              <w:pStyle w:val="TableContents"/>
              <w:bidi w:val="0"/>
              <w:spacing w:before="0" w:after="1"/>
              <w:ind w:left="0" w:right="0" w:hanging="0"/>
              <w:jc w:val="left"/>
              <w:rPr/>
            </w:pPr>
            <w:r>
              <w:rPr/>
              <w:t>​</w:t>
            </w:r>
          </w:p>
        </w:tc>
        <w:tc>
          <w:tcPr>
            <w:tcW w:w="4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27,821</w:t>
            </w:r>
          </w:p>
        </w:tc>
        <w:tc>
          <w:tcPr>
            <w:tcW w:w="34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14,073</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10,820</w:t>
            </w:r>
          </w:p>
        </w:tc>
        <w:tc>
          <w:tcPr>
            <w:tcW w:w="346" w:type="dxa"/>
            <w:tcBorders/>
            <w:vAlign w:val="center"/>
          </w:tcPr>
          <w:p>
            <w:pPr>
              <w:pStyle w:val="TableContents"/>
              <w:bidi w:val="0"/>
              <w:spacing w:before="0" w:after="1"/>
              <w:ind w:left="0" w:right="0" w:hanging="0"/>
              <w:jc w:val="left"/>
              <w:rPr/>
            </w:pPr>
            <w:r>
              <w:rPr/>
              <w:t>​</w:t>
            </w:r>
          </w:p>
        </w:tc>
        <w:tc>
          <w:tcPr>
            <w:tcW w:w="4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principal obligations related to the Byline Credit Agreement that was entered into during the years ended December 31, 2024.</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obligations under the amounts due to certain sellers of the PKSH entities. The notes mature in March 2027.</w:t>
            </w:r>
          </w:p>
        </w:tc>
      </w:tr>
    </w:tbl>
    <w:tbl>
      <w:tblPr>
        <w:tblW w:w="9032" w:type="dxa"/>
        <w:jc w:val="left"/>
        <w:tblInd w:w="0" w:type="dxa"/>
        <w:tblLayout w:type="fixed"/>
        <w:tblCellMar>
          <w:top w:w="0" w:type="dxa"/>
          <w:left w:w="0" w:type="dxa"/>
          <w:bottom w:w="0" w:type="dxa"/>
          <w:right w:w="0" w:type="dxa"/>
        </w:tblCellMar>
      </w:tblPr>
      <w:tblGrid>
        <w:gridCol w:w="346"/>
        <w:gridCol w:w="86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future minimum lease payments as of December 31, 2025, under non-cancellable office leases.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consolidated financial statements and accompanying notes. Although these estimates are based on the Company’s knowledge of current events and actions the Company may undertake in the future, actual results could differ from those estimates and assumptions.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Management exercises judgment in determining whether the Company is the principal (i.e., reports revenues on a gross basis) or agent (i.e., reports revenue on a net basis). For additional information see Note 5 in the consolidated financial statements as of and for the years ended December 31, 2025 and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and other intangible assets are tested annually for impairment or if certain events occur indicating that the carrying amounts may be impaired.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greater than its carrying amount, then performing the two-step impairment test is not required. However, if we conclude otherwise, we are then required to perform the first step of the two-step impairment test. Goodwill impairment is determined by comparing the estimated fair value of a reporting unit with its respective carrying value. If the estimated fair value exceeds the carrying value, goodwill at the reporting unit level is not deemed to be impaired. If the estimated fair value is below carrying value, however, further analysis is required to determine the amount of the impairment. Additionally, if the carrying value of a reporting unit is zero or a negative value and it is determined that it is more likely than not the goodwill is impaired, further analysis is required. The estimated fair values of the reporting units are derived based on valuation techniques we believe market participants would use for each of the reporting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performed our goodwill impairment test as of and for the years ended December 31, 2025, and 2024. The estimated fair value of the reporting units were determined using the market approach for each reporting unit, relying specifically on the guideline public company method. Our guideline public company method incorporates revenue and earnings multiples from publicly traded companies with operations and other characteristics similar to each reporting unit. As a result of the 2025 and 2024 annual impairment tests, the fair value of the reporting units was approximately 225% and 270% greater than its carrying value, respectively. Since there have been no events or circumstances which indicated that it was more likely than not the fair value of the reporting units were below their carrying amount, interim goodwill tests were not considered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goodwill impairment test requires us to make judgments in determining what assumptions to use in the calculation. Assumptions, judgments, and estimates about future cash flows and discount rates are complex and often subjective. They can be affected by a variety of factors, including, among others, economic trends and market conditions, changes in revenue growth trends or business strategies, unanticipated competition, discount rates, technology, or government regulations. In assessing the fair value of our reporting units, the volatile nature of the securities markets and industry requires us to consider the business and market cycle and assess the stage of the cycle in estimating the timing and extent of future cash flows. In addition to discounted cash flows, we consider other information, such as public market comparable and multiples of recent mergers and acquisitions of similar businesses. Although we believe the assumptions, judgments, and estimates we have made in the past have been reasonable and appropriate, different assumptions, judgments, and estimates could materially affect our reported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 to Note 3 - </w:t>
      </w:r>
      <w:r>
        <w:rPr>
          <w:rFonts w:ascii="Times New Roman;Times;serif" w:hAnsi="Times New Roman;Times;serif"/>
          <w:i/>
          <w:sz w:val="20"/>
        </w:rPr>
        <w:t>Summary of Significant Accounting Policies,</w:t>
      </w:r>
      <w:r>
        <w:rPr>
          <w:rFonts w:ascii="Times New Roman;Times;serif" w:hAnsi="Times New Roman;Times;serif"/>
          <w:sz w:val="20"/>
        </w:rPr>
        <w:t> within the notes to the consolidated financial statements for a discussion of recent accounting pronouncements or changes in accounting pronouncements that are of significance, or potential significance, to us.</w:t>
      </w:r>
    </w:p>
    <w:p>
      <w:pPr>
        <w:pStyle w:val="TextBody"/>
        <w:bidi w:val="0"/>
        <w:spacing w:before="0" w:after="240"/>
        <w:ind w:left="0" w:right="0" w:hanging="0"/>
        <w:jc w:val="left"/>
        <w:rPr>
          <w:rFonts w:ascii="Times New Roman;Times;serif" w:hAnsi="Times New Roman;Times;serif"/>
          <w:b/>
          <w:sz w:val="20"/>
        </w:rPr>
      </w:pPr>
      <w:bookmarkStart w:id="51" w:name="ITEM7AQUANTITATIVEANDQUALITATIVEDISCLOSU"/>
      <w:bookmarkStart w:id="52" w:name="_6580728f_b077_4e2b_a517_54f0533fc64c"/>
      <w:bookmarkEnd w:id="51"/>
      <w:bookmarkEnd w:id="52"/>
      <w:r>
        <w:rPr>
          <w:rFonts w:ascii="Times New Roman;Times;serif" w:hAnsi="Times New Roman;Times;serif"/>
          <w:b/>
          <w:sz w:val="20"/>
        </w:rPr>
        <w:t>ITEM 7A. QUANTITATIVE AND QUALITATIVE DISCLOSURE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risk associated with changes in interest rates. As of December 31, 2025, $8.2 million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share of the interest earned in our clients’ cash balances held at our clearing brokers, which is generally subject to the same, but off-setting, interest rate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3" w:name="ITEM8FINANCIALSTATEMENTSANDSUPPLEMENTARY"/>
      <w:bookmarkStart w:id="54" w:name="_15cfba19_8c55_4196_9252_a68be7ddddf5"/>
      <w:bookmarkEnd w:id="53"/>
      <w:bookmarkEnd w:id="54"/>
      <w:r>
        <w:rPr>
          <w:rFonts w:ascii="Times New Roman;Times;serif" w:hAnsi="Times New Roman;Times;serif"/>
          <w:b/>
          <w:sz w:val="20"/>
        </w:rPr>
        <w:t>ITEM 8. FINANCIAL STATEMENTS AND SUPPLEMENTARY DATA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the consolidated financial statements and accompanying notes set forth on pages F-2 through F-28 of this Annual Report on Form 10-K.</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55" w:name="ITEM9CHANGESINANDDISAGREEMENTSWITHACCOUN"/>
      <w:bookmarkStart w:id="56" w:name="_ff26657f_3f12_4d97_849a_d65dfb86244e"/>
      <w:bookmarkEnd w:id="55"/>
      <w:bookmarkEnd w:id="56"/>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7" w:name="ITEM9ACONTROLSANDPROCEDURES_49225"/>
      <w:bookmarkStart w:id="58" w:name="_b791893c_cc78_4a3a_acaa_3a4d5fb7d117"/>
      <w:bookmarkEnd w:id="57"/>
      <w:bookmarkEnd w:id="58"/>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and accounting officer, we conducted an evaluation of the effectiveness of our disclosure controls and procedures as of December 31, 2025, as such term is defined in Rules 13a-15(e) and 15d-15(e) under the Exchange Act. Based on this evaluation, our principal executive officer and principal financial and accounting officer have concluded that as of December 31, 2025, our disclosure controls and procedures were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have conducted an evaluation of the effectiveness of our internal control over financial reporting based on the framework in Internal Control – Integrated Framework (2013) issued by the Committee of Sponsoring Organizations of the Treadway Commission. Based on our assessment under the framework in Internal Control – Integrated Framework, our management concluded that our internal control over financial reporting was effective as of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Annual Report does not include an attestation report of our independent registered public accounting firm due to an exemption established by the Exchange Act for “smaller reporting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not been any changes in our internal control over financial reporting (as such term is defined in Rules 13a-15(f) and 15d-15(f) under the Exchange Act) during the fourth fiscal quarter to which this report relates that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59" w:name="ITEM9BOTHERINFORMATION_482658"/>
      <w:bookmarkStart w:id="60" w:name="_b04df721_f9e3_415c_9420_50ca8818036e"/>
      <w:bookmarkEnd w:id="59"/>
      <w:bookmarkEnd w:id="60"/>
      <w:r>
        <w:rPr>
          <w:rFonts w:ascii="Times New Roman;Times;serif" w:hAnsi="Times New Roman;Times;serif"/>
          <w:b/>
          <w:sz w:val="20"/>
        </w:rPr>
        <w:t>ITEM 9B.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1" w:name="ITEM9CDISCLOSUREREGARDINGFOREIGNJURISDIC"/>
      <w:bookmarkStart w:id="62" w:name="_d96614f2_3f54_4998_b1e8_154677eaae90"/>
      <w:bookmarkEnd w:id="61"/>
      <w:bookmarkEnd w:id="62"/>
      <w:r>
        <w:rPr>
          <w:rFonts w:ascii="Times New Roman;Times;serif" w:hAnsi="Times New Roman;Times;serif"/>
          <w:b/>
          <w:sz w:val="20"/>
        </w:rPr>
        <w:t>ITEM 9C. DISCLOSURE REGARDING FOREIGN JURISDICTIONS THAT PREVENT INSPECTIONS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3" w:name="PARTIII_333134"/>
      <w:bookmarkStart w:id="64" w:name="_3b8bdde3_2a3b_4929_ae14_b31f07377f7f"/>
      <w:bookmarkEnd w:id="63"/>
      <w:bookmarkEnd w:id="64"/>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65" w:name="ITEM10DIRECTORSEXECUTIVEOFFICERSANDCORPO"/>
      <w:bookmarkEnd w:id="65"/>
      <w:r>
        <w:rPr>
          <w:rFonts w:ascii="Times New Roman;Times;serif" w:hAnsi="Times New Roman;Times;serif"/>
          <w:b/>
          <w:sz w:val="20"/>
        </w:rPr>
        <w:t>ITEM 10. DIRECTORS, EXECUTIVE OFFICERS AND CORPORATE 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with respect to our executive officers is incorporated herein by reference to information under the heading “Executive Officers” in the Proxy Statement. Information with respect to compliance with Section 16(a) of the Exchange Act is incorporated herein by reference to information under the heading “Security Ownership of Certain Beneficial Owners And Management of Shares” in the Proxy Statement. Information with respect to directors, the Audit Committee and the Audit Committee financial expert, and procedures by which stockholders may recommend nominees to the Board of Directors in response to this item is incorporated herein by reference to information under the headings “Election of Directors” and “ Committees” in the Proxy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Information with respect to our Code of Conduct and Business Ethics is incorporated herein by reference to information under the heading “Code of Conduct and Business Ethics” in the Proxy Statement.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insider trading policies and procedures that govern the purchase, sale and other dispositions of our securities by our directors, officers and employees that we believe are reasonably designed to promote compliance with insider trading laws, rules and regulations, and any applicable listing standards.</w:t>
      </w:r>
    </w:p>
    <w:p>
      <w:pPr>
        <w:pStyle w:val="TextBody"/>
        <w:bidi w:val="0"/>
        <w:spacing w:before="0" w:after="240"/>
        <w:ind w:left="0" w:right="0" w:hanging="0"/>
        <w:jc w:val="left"/>
        <w:rPr>
          <w:rFonts w:ascii="Times New Roman;Times;serif" w:hAnsi="Times New Roman;Times;serif"/>
          <w:b/>
          <w:sz w:val="20"/>
        </w:rPr>
      </w:pPr>
      <w:bookmarkStart w:id="66" w:name="ITEM11EXECUTIVECOMPENSATION1_999274"/>
      <w:bookmarkStart w:id="67" w:name="_ec33197d_dae4_4b1d_a381_0aabec1c4789"/>
      <w:bookmarkEnd w:id="66"/>
      <w:bookmarkEnd w:id="67"/>
      <w:r>
        <w:rPr>
          <w:rFonts w:ascii="Times New Roman;Times;serif" w:hAnsi="Times New Roman;Times;serif"/>
          <w:b/>
          <w:sz w:val="20"/>
        </w:rPr>
        <w:t>ITEM 11. 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in response to this item is incorporated herein by reference to information under the heading “Executive Compensation” in the Proxy Statement.</w:t>
      </w:r>
    </w:p>
    <w:p>
      <w:pPr>
        <w:pStyle w:val="TextBody"/>
        <w:bidi w:val="0"/>
        <w:spacing w:before="0" w:after="240"/>
        <w:ind w:left="0" w:right="0" w:hanging="0"/>
        <w:jc w:val="both"/>
        <w:rPr>
          <w:rFonts w:ascii="Times New Roman;Times;serif" w:hAnsi="Times New Roman;Times;serif"/>
          <w:b/>
          <w:sz w:val="20"/>
        </w:rPr>
      </w:pPr>
      <w:bookmarkStart w:id="68" w:name="ITEM12SECURITYOWNERSHIPOFCERTAINBENEFICI"/>
      <w:bookmarkStart w:id="69" w:name="_93d56c0b_35da_44a7_bb41_d235140c498c"/>
      <w:bookmarkEnd w:id="68"/>
      <w:bookmarkEnd w:id="69"/>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in response to this item is incorporated herein by reference to information under the heading “Security Ownership of Certain Beneficial Owners and Management of Shares” in the Proxy Statement.</w:t>
      </w:r>
    </w:p>
    <w:p>
      <w:pPr>
        <w:pStyle w:val="TextBody"/>
        <w:bidi w:val="0"/>
        <w:spacing w:before="0" w:after="240"/>
        <w:ind w:left="0" w:right="0" w:hanging="0"/>
        <w:jc w:val="both"/>
        <w:rPr>
          <w:rFonts w:ascii="Times New Roman;Times;serif" w:hAnsi="Times New Roman;Times;serif"/>
          <w:b/>
          <w:sz w:val="20"/>
        </w:rPr>
      </w:pPr>
      <w:bookmarkStart w:id="70" w:name="ITEM13CERTAINRELATIONSHIPSANDRELATEDTRAN"/>
      <w:bookmarkStart w:id="71" w:name="_4ed88e5c_684b_47f7_8eb4_e8557ca2411c"/>
      <w:bookmarkEnd w:id="70"/>
      <w:bookmarkEnd w:id="71"/>
      <w:r>
        <w:rPr>
          <w:rFonts w:ascii="Times New Roman;Times;serif" w:hAnsi="Times New Roman;Times;serif"/>
          <w:b/>
          <w:sz w:val="20"/>
        </w:rPr>
        <w:t>ITEM 13. CERTAIN RELATIONSHIPS AND RELATED TRANSACTIONS, AND DIRECTOR INDEPENDENCE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Information with respect to certain relationships and related transactions is incorporated herein by reference to information under the heading “Related Party Transactions” and director independence is incorporated herein by reference to information under the heading “Corporate Governance and Related Matters – Independence of Directors” in the Proxy Statement.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2" w:name="ITEM14PRINCIPALACCOUNTANTFEESANDSERVICES"/>
      <w:bookmarkStart w:id="73" w:name="_68b055d8_b9e0_44d9_a717_fa97551813cd"/>
      <w:bookmarkEnd w:id="72"/>
      <w:bookmarkEnd w:id="73"/>
      <w:r>
        <w:rPr>
          <w:rFonts w:ascii="Times New Roman;Times;serif" w:hAnsi="Times New Roman;Times;serif"/>
          <w:b/>
          <w:sz w:val="20"/>
        </w:rPr>
        <w:t>ITEM 14. PRINCIPAL ACCOUNTANT FEES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in response to this item is incorporated herein by reference to information under the heading “Ratification of Appointment of Independent Registered Public Accounting Firm” in the Proxy 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74" w:name="PARTIV_565133"/>
      <w:bookmarkStart w:id="75" w:name="_511007c8_f4c1_4e69_b40e_f72074c53dec"/>
      <w:bookmarkEnd w:id="74"/>
      <w:bookmarkEnd w:id="75"/>
      <w:r>
        <w:rPr>
          <w:rFonts w:ascii="Times New Roman;Times;serif" w:hAnsi="Times New Roman;Times;serif"/>
          <w:b/>
          <w:sz w:val="20"/>
        </w:rPr>
        <w:t>PART IV</w:t>
      </w:r>
    </w:p>
    <w:p>
      <w:pPr>
        <w:pStyle w:val="TextBody"/>
        <w:bidi w:val="0"/>
        <w:spacing w:before="0" w:after="160"/>
        <w:ind w:left="0" w:right="0" w:hanging="0"/>
        <w:jc w:val="left"/>
        <w:rPr>
          <w:rFonts w:ascii="Times New Roman;Times;serif" w:hAnsi="Times New Roman;Times;serif"/>
          <w:b/>
          <w:sz w:val="20"/>
        </w:rPr>
      </w:pPr>
      <w:bookmarkStart w:id="76" w:name="ITEM15EXHIBITSFINANCIALSTATEMENTSCHEDULE"/>
      <w:bookmarkEnd w:id="76"/>
      <w:r>
        <w:rPr>
          <w:rFonts w:ascii="Times New Roman;Times;serif" w:hAnsi="Times New Roman;Times;serif"/>
          <w:b/>
          <w:sz w:val="20"/>
        </w:rPr>
        <w:t>ITEM 15. EXHIBITS, FINANCIAL STATEMENT SCHEDULES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following documents are filed as part of this Form 10-K:</w:t>
      </w:r>
    </w:p>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Financial Statements:</w:t>
      </w:r>
    </w:p>
    <w:tbl>
      <w:tblPr>
        <w:tblW w:w="10205" w:type="dxa"/>
        <w:jc w:val="left"/>
        <w:tblInd w:w="0" w:type="dxa"/>
        <w:tblLayout w:type="fixed"/>
        <w:tblCellMar>
          <w:top w:w="0" w:type="dxa"/>
          <w:left w:w="0" w:type="dxa"/>
          <w:bottom w:w="0" w:type="dxa"/>
          <w:right w:w="0" w:type="dxa"/>
        </w:tblCellMar>
      </w:tblPr>
      <w:tblGrid>
        <w:gridCol w:w="9634"/>
        <w:gridCol w:w="571"/>
      </w:tblGrid>
      <w:tr>
        <w:trPr/>
        <w:tc>
          <w:tcPr>
            <w:tcW w:w="9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117590" cy="175260"/>
                      <wp:effectExtent l="0" t="0" r="0" b="0"/>
                      <wp:wrapNone/>
                      <wp:docPr id="117" name="Frame117"/>
                      <a:graphic xmlns:a="http://schemas.openxmlformats.org/drawingml/2006/main">
                        <a:graphicData uri="http://schemas.microsoft.com/office/word/2010/wordprocessingShape">
                          <wps:wsp>
                            <wps:cNvSpPr txBox="1"/>
                            <wps:spPr>
                              <a:xfrm>
                                <a:off x="0" y="0"/>
                                <a:ext cx="6117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2585" cy="175260"/>
                      <wp:effectExtent l="0" t="0" r="0" b="0"/>
                      <wp:wrapNone/>
                      <wp:docPr id="118" name="Frame1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shd w:fill="CCEEFF" w:val="clear"/>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634" w:type="dxa"/>
            <w:tcBorders/>
            <w:vAlign w:val="center"/>
          </w:tcPr>
          <w:p>
            <w:pPr>
              <w:pStyle w:val="TableContents"/>
              <w:pBdr/>
              <w:bidi w:val="0"/>
              <w:spacing w:before="0" w:after="0"/>
              <w:ind w:left="0" w:right="0" w:hanging="0"/>
              <w:jc w:val="left"/>
              <w:rPr/>
            </w:pPr>
            <w:hyperlink w:anchor="CONSOLIDATEDSTATEMENTSOFFINANCIALCONDITI">
              <w:r>
                <w:rPr>
                  <w:rStyle w:val="InternetLink"/>
                  <w:rFonts w:ascii="Times New Roman;Times;serif" w:hAnsi="Times New Roman;Times;serif"/>
                  <w:b w:val="false"/>
                  <w:i w:val="false"/>
                  <w:caps w:val="false"/>
                  <w:smallCaps w:val="false"/>
                  <w:sz w:val="20"/>
                </w:rPr>
                <w:t>Consolidated Statements of Financial Condition as of December 31, 2025 and 2024</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634" w:type="dxa"/>
            <w:tcBorders/>
            <w:shd w:fill="CCEEFF" w:val="clear"/>
            <w:vAlign w:val="center"/>
          </w:tcPr>
          <w:p>
            <w:pPr>
              <w:pStyle w:val="TableContents"/>
              <w:pBdr/>
              <w:bidi w:val="0"/>
              <w:spacing w:before="0" w:after="0"/>
              <w:ind w:left="0" w:right="0" w:hanging="0"/>
              <w:jc w:val="left"/>
              <w:rPr/>
            </w:pPr>
            <w:hyperlink w:anchor="CONSOLIDATEDSTATEMENTSOFOPERATIONS_78334">
              <w:r>
                <w:rPr>
                  <w:rStyle w:val="InternetLink"/>
                  <w:rFonts w:ascii="Times New Roman;Times;serif" w:hAnsi="Times New Roman;Times;serif"/>
                  <w:b w:val="false"/>
                  <w:i w:val="false"/>
                  <w:caps w:val="false"/>
                  <w:smallCaps w:val="false"/>
                  <w:sz w:val="20"/>
                </w:rPr>
                <w:t>Consolidated Statements of Operations for the years ended December 31, 2025 and December 31, 2024</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634" w:type="dxa"/>
            <w:tcBorders/>
            <w:vAlign w:val="center"/>
          </w:tcPr>
          <w:p>
            <w:pPr>
              <w:pStyle w:val="TableContents"/>
              <w:pBdr/>
              <w:bidi w:val="0"/>
              <w:spacing w:before="0" w:after="0"/>
              <w:ind w:left="0" w:right="0" w:hanging="0"/>
              <w:jc w:val="left"/>
              <w:rPr/>
            </w:pPr>
            <w:hyperlink w:anchor="CONSOLIDATEDSTATEMENTSOFCHANGESINMEMBERS">
              <w:r>
                <w:rPr>
                  <w:rStyle w:val="InternetLink"/>
                  <w:rFonts w:ascii="Times New Roman;Times;serif" w:hAnsi="Times New Roman;Times;serif"/>
                  <w:b w:val="false"/>
                  <w:i w:val="false"/>
                  <w:caps w:val="false"/>
                  <w:smallCaps w:val="false"/>
                  <w:sz w:val="20"/>
                </w:rPr>
                <w:t>Consolidated Statements of Changes in Stockholders’ Equity for the years ended December 31, 2025 and December 31, 2024</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634" w:type="dxa"/>
            <w:tcBorders/>
            <w:shd w:fill="CCEEFF" w:val="clear"/>
            <w:vAlign w:val="center"/>
          </w:tcPr>
          <w:p>
            <w:pPr>
              <w:pStyle w:val="TableContents"/>
              <w:pBdr/>
              <w:bidi w:val="0"/>
              <w:spacing w:before="0" w:after="0"/>
              <w:ind w:left="0" w:right="0" w:hanging="0"/>
              <w:jc w:val="left"/>
              <w:rPr/>
            </w:pPr>
            <w:hyperlink w:anchor="COMPREHENSIVEINCOME_151821">
              <w:r>
                <w:rPr>
                  <w:rStyle w:val="InternetLink"/>
                  <w:rFonts w:ascii="Times New Roman;Times;serif" w:hAnsi="Times New Roman;Times;serif"/>
                  <w:b w:val="false"/>
                  <w:i w:val="false"/>
                  <w:caps w:val="false"/>
                  <w:smallCaps w:val="false"/>
                  <w:sz w:val="20"/>
                </w:rPr>
                <w:t>Consolidated Statements of Comprehensive Income (Loss)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634" w:type="dxa"/>
            <w:tcBorders/>
            <w:vAlign w:val="center"/>
          </w:tcPr>
          <w:p>
            <w:pPr>
              <w:pStyle w:val="TableContents"/>
              <w:pBdr/>
              <w:bidi w:val="0"/>
              <w:spacing w:before="0" w:after="0"/>
              <w:ind w:left="0" w:right="0" w:hanging="0"/>
              <w:jc w:val="left"/>
              <w:rPr/>
            </w:pPr>
            <w:hyperlink w:anchor="CONSOLIDATEDSTATEMENTSOFCASHFLOWS_104180">
              <w:r>
                <w:rPr>
                  <w:rStyle w:val="InternetLink"/>
                  <w:rFonts w:ascii="Times New Roman;Times;serif" w:hAnsi="Times New Roman;Times;serif"/>
                  <w:b w:val="false"/>
                  <w:i w:val="false"/>
                  <w:caps w:val="false"/>
                  <w:smallCaps w:val="false"/>
                  <w:sz w:val="20"/>
                </w:rPr>
                <w:t>Consolidated Statements of Cash Flows for the years ended December 31, 2025 and December 31, 2024</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634" w:type="dxa"/>
            <w:tcBorders/>
            <w:shd w:fill="CCEEFF" w:val="clear"/>
            <w:vAlign w:val="center"/>
          </w:tcPr>
          <w:p>
            <w:pPr>
              <w:pStyle w:val="TableContents"/>
              <w:pBdr/>
              <w:bidi w:val="0"/>
              <w:spacing w:before="0" w:after="0"/>
              <w:ind w:left="0" w:right="0" w:hanging="0"/>
              <w:jc w:val="left"/>
              <w:rPr/>
            </w:pPr>
            <w:hyperlink w:anchor="a1ORGANIZATIONANDNATUREOFBUSINESS_515487">
              <w:r>
                <w:rPr>
                  <w:rStyle w:val="InternetLink"/>
                  <w:rFonts w:ascii="Times New Roman;Times;serif" w:hAnsi="Times New Roman;Times;serif"/>
                  <w:b w:val="false"/>
                  <w:i w:val="false"/>
                  <w:caps w:val="false"/>
                  <w:smallCaps w:val="false"/>
                  <w:sz w:val="20"/>
                </w:rPr>
                <w:t>Notes to the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240"/>
        <w:ind w:left="0" w:right="0" w:hanging="0"/>
        <w:jc w:val="both"/>
        <w:rPr/>
      </w:pPr>
      <w:r>
        <w:rPr/>
        <w:t>​</w:t>
      </w:r>
    </w:p>
    <w:tbl>
      <w:tblPr>
        <w:tblW w:w="1247" w:type="dxa"/>
        <w:jc w:val="left"/>
        <w:tblInd w:w="0" w:type="dxa"/>
        <w:tblLayout w:type="fixed"/>
        <w:tblCellMar>
          <w:top w:w="0" w:type="dxa"/>
          <w:left w:w="0" w:type="dxa"/>
          <w:bottom w:w="0" w:type="dxa"/>
          <w:right w:w="0" w:type="dxa"/>
        </w:tblCellMar>
      </w:tblPr>
      <w:tblGrid>
        <w:gridCol w:w="346"/>
        <w:gridCol w:w="901"/>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28" w:type="dxa"/>
          <w:right w:w="0" w:type="dxa"/>
        </w:tblCellMar>
      </w:tblPr>
      <w:tblGrid>
        <w:gridCol w:w="860"/>
        <w:gridCol w:w="346"/>
        <w:gridCol w:w="8999"/>
      </w:tblGrid>
      <w:tr>
        <w:trPr/>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8999"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6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9" w:type="dxa"/>
            <w:tcBorders/>
            <w:tcMar>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Binah Capital Group, Inc. (incorporated by reference to Exhibit 3.1 to Binah Capital Group, Inc.’s Form 8-K, filed with the SEC on March 21, 2024).</w:t>
              </w:r>
            </w:hyperlink>
          </w:p>
        </w:tc>
      </w:tr>
      <w:tr>
        <w:trPr/>
        <w:tc>
          <w:tcPr>
            <w:tcW w:w="86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9"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Amended and Restated Bylaws of Binah Capital Group, Inc. (incorporated by reference to Exhibit 3.2 to Binah Capital Group, Inc.’s Form 8-K, filed with the SEC on March 21, 2024).</w:t>
              </w:r>
            </w:hyperlink>
          </w:p>
        </w:tc>
      </w:tr>
      <w:tr>
        <w:trPr/>
        <w:tc>
          <w:tcPr>
            <w:tcW w:w="86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99" w:type="dxa"/>
            <w:tcBorders/>
            <w:tcMar>
              <w:bottom w:w="0" w:type="dxa"/>
            </w:tcMar>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Designations of the Convertible Participating Preferred Stock (incorporated by reference to Exhibit 4.5 to Binah Capital Group, Inc.’s Form 8-K, filed with the SEC on March 21,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3.3.1</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99" w:type="dxa"/>
            <w:tcBorders/>
            <w:tcMar>
              <w:bottom w:w="0"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Amended and Restated Certificate of Designations of the Series A Junior Convertible Preferred Stock (incorporated by reference to Exhibit 4.1 to Binah Capital Group, Inc.’s Form 8-K filed with the SEC on December 26,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3.4</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99"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Designations of the Series B Junior Convertible Preferred Stock (incorporated by reference to Exhibit 4.1 to Binah Capital Group, Inc.’s Form 10-Q for the Quarterly Period ended September 30, 2024, filed with the SEC on November 14,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3.4.1</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99"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Amended and Restated Certificate of Designations of the Series B Junior Convertible Preferred Stock (incorporated by reference to Exhibit 4.1 to Binah Capital Group, Inc.’s Form 8-K, filed with the SEC on February 27, 2026).</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9" w:type="dxa"/>
            <w:tcBorders/>
            <w:tcMar>
              <w:bottom w:w="0" w:type="dxa"/>
            </w:tcMar>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Specimen Common Stock Certificate (incorporated by reference to Exhibit 4.1 to Binah Capital Group, Inc.’s Form 8-K, filed with the SEC on March 21,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9" w:type="dxa"/>
            <w:tcBorders/>
            <w:tcMar>
              <w:bottom w:w="0" w:type="dxa"/>
            </w:tcMar>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Specimen Warrant Certificate (incorporated by reference to Exhibit 4.2 to Binah Capital Group, Inc.’s Form 8-K, filed with the SEC on March 21,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9" w:type="dxa"/>
            <w:tcBorders/>
            <w:tcMar>
              <w:bottom w:w="0" w:type="dxa"/>
            </w:tcMar>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Existing Warrant Agreement, dated November 19, 2020, between Kingswood Acquisition Corp. and Continental Stock Transfer &amp; Trust Company, as warrant agent (incorporated by reference to Exhibit 4.3 to Binah Capital Group, Inc.’s Form 8-K, filed with the SEC on March 21,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9" w:type="dxa"/>
            <w:tcBorders/>
            <w:tcMar>
              <w:bottom w:w="0" w:type="dxa"/>
            </w:tcMar>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Warrant Assumption Agreement, dated March 15, 2024, by and among Continental Stock Transfer and Trust Company, Kingswood Acquisition Corp. and Binah Capital Group, Inc. (incorporated by reference to Exhibit 4.4 to Binah Capital Group, Inc.’s Form 8-K, filed with the SEC on March 21,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4.5*</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99" w:type="dxa"/>
            <w:tcBorders/>
            <w:tcMar>
              <w:bottom w:w="0" w:type="dxa"/>
            </w:tcMar>
            <w:vAlign w:val="center"/>
          </w:tcPr>
          <w:p>
            <w:pPr>
              <w:pStyle w:val="TableContents"/>
              <w:bidi w:val="0"/>
              <w:spacing w:before="0" w:after="0"/>
              <w:ind w:left="0" w:right="0" w:hanging="0"/>
              <w:jc w:val="both"/>
              <w:rPr/>
            </w:pPr>
            <w:hyperlink w:anchor="tmb-20251231xex4d5.htm">
              <w:r>
                <w:rPr>
                  <w:rStyle w:val="InternetLink"/>
                  <w:rFonts w:ascii="Times New Roman;Times;serif" w:hAnsi="Times New Roman;Times;serif"/>
                  <w:b w:val="false"/>
                  <w:i w:val="false"/>
                  <w:caps w:val="false"/>
                  <w:smallCaps w:val="false"/>
                  <w:sz w:val="20"/>
                </w:rPr>
                <w:t>Description of Securities</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10.1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9" w:type="dxa"/>
            <w:tcBorders/>
            <w:tcMar>
              <w:bottom w:w="0" w:type="dxa"/>
            </w:tcMar>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Subscription Agreement, dated March 15, 2024, by and among Binah Capital Group, Inc., Wentworth Management Funding LLC and Pollen Street Capital Limited (incorporated by reference to Exhibit 10.1 to Binah Capital Group, Inc.’s Form 8-K, filed with the SEC on March 21,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10.1.1</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99" w:type="dxa"/>
            <w:tcBorders/>
            <w:tcMar>
              <w:bottom w:w="0" w:type="dxa"/>
            </w:tcMar>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Series B Subscription Agreement (incorporated by reference to Exhibit 10.1 to Binah Capital Group, Inc.’s Form 10-Q for the Quarterly Period ended September 30, 2024 filed with the SEC on November 14,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9" w:type="dxa"/>
            <w:tcBorders/>
            <w:tcMar>
              <w:bottom w:w="0" w:type="dxa"/>
            </w:tcMar>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Registration Rights Agreement, dated March 15, 2024, by and among Binah Capital Group, Inc. and the holders party thereto (incorporated by reference to Exhibit 10.2 to Binah Capital Group, Inc.’s Form 8-K, filed with the SEC on March 21, 2024).</w:t>
              </w:r>
            </w:hyperlink>
          </w:p>
        </w:tc>
      </w:tr>
      <w:tr>
        <w:trPr/>
        <w:tc>
          <w:tcPr>
            <w:tcW w:w="86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99" w:type="dxa"/>
            <w:tcBorders/>
            <w:tcMar>
              <w:bottom w:w="0" w:type="dxa"/>
            </w:tcMar>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Strategic Alliance Agreement, dated March 15, 2024, by and between Binah Capital Group, Inc. and Kingswood US LLC. (incorporated by reference to Exhibit 10.12 to Binah Capital Group, Inc.’s Form 8-K, filed with the SEC on March 21, 2024).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10"/>
        <w:gridCol w:w="109"/>
        <w:gridCol w:w="9286"/>
      </w:tblGrid>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6"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Credit Agreement, dated December 23, 2024, by and between Binah Capital Group, Inc. and Byline Bank (incorporated by reference to Exhibit 10.1 to Binah Capital Group, Inc.’s Form 8-K, filed with the SEC on December 23, 2024).</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6"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Binah Capital Group, Inc. 2024 Equity Incentive Plan (incorporated by reference to Binah Capital Group, Inc.’s Registration Statement on Form S-8 (Reg. No. 333-286609) filed with the SEC on April 17, 2025).</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6"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Form of Restricted Stock Agreement (incorporated by reference to Exhibit 10.1 to Binah Capital Group, Inc.’s Form 10-Q for the Quarterly Period ended June 30, 2025 filed with the SEC on August 13, 2025).</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Form of Restricted Stock Agreement (incorporated by reference to Exhibit 10.1 to Binah Capital Group, Inc.’s Form 10-Q for the Quarterly Period ended June 30, 2025 filed with the SEC on August 13, 2025).</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6"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Form of Restricted Stock Unit Agreement (incorporated by reference to Exhibit 10.2 to Binah Capital Group, Inc.’s Form 10-Q for the Quarterly Period ended June 30, 2025 filed with the SEC on August 13, 2025).</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286"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Form of Director Stock Option Agreement (incorporated by reference to Exhibit 10.3 to Binah Capital Group, Inc.’s Form 10-Q for the Quarterly Period ended June 30, 2025 filed with the SEC on August 13, 2025).</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Form of Executive Officer Stock Option Agreement (incorporated by reference to Exhibit 10.4 to Binah Capital Group, Inc.’s Form 10-Q for the Quarterly Period ended June 30, 2025 filed with the SEC on August 13, 2025).</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Executive Employment Agreement, dated August 14, 2024, by and between Craig Gould and Binah Capital Group, Inc. (incorporated by reference to Exhibit 10.1 to Binah Capital Group, Inc.’s Form 10-K for the Quarterly Period ended June 30, 2024, filed with the SEC on August 15, 2024).</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10.11.1‡</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Amended Gould Employment Agreement (incorporated by reference to Exhibit 10.5 to Binah Capital Group, Inc.’s Form 10-Q for the Quarterly Period ended June 30, 2025 filed with the SEC on August 13, 2025).</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Executive Employment Agreement, dated August 14, 2024, by and between David Shane and Binah Capital Group, Inc. (incorporated by reference to Exhibit 10.1 to Binah Capital Group, Inc.’s Form 10-K for the Quarterly Period ended June 30, 2024, filed with the SEC on August 15, 2024).</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10.12.1‡</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Amended Shane Employment Agreement (incorporated by reference to Exhibit 10.6 to Binah Capital Group, Inc.’s Form 10-Q for the Quarterly Period ended June 30, 2025 filed with the SEC on August 13, 2025).</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10.12.2‡*</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w:anchor="tmb-20251231xex10d122.htm">
              <w:r>
                <w:rPr>
                  <w:rStyle w:val="InternetLink"/>
                  <w:rFonts w:ascii="Times New Roman;Times;serif" w:hAnsi="Times New Roman;Times;serif"/>
                  <w:b w:val="false"/>
                  <w:i w:val="false"/>
                  <w:caps w:val="false"/>
                  <w:smallCaps w:val="false"/>
                  <w:sz w:val="20"/>
                </w:rPr>
                <w:t>Amendment No. 2 to the Executive Employment Agreement, dated February 26, 2026, by and between David Shane and Binah Capital Group, Inc.</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w:anchor="tmb-20251231xex19d1.htm">
              <w:r>
                <w:rPr>
                  <w:rStyle w:val="InternetLink"/>
                  <w:rFonts w:ascii="Times New Roman;Times;serif" w:hAnsi="Times New Roman;Times;serif"/>
                  <w:b w:val="false"/>
                  <w:i w:val="false"/>
                  <w:caps w:val="false"/>
                  <w:smallCaps w:val="false"/>
                  <w:sz w:val="20"/>
                </w:rPr>
                <w:t>Insider Trading Policy of Binah Capital Group, Inc., as amended.</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w:anchor="tmb-20251231xex31d1.htm">
              <w:r>
                <w:rPr>
                  <w:rStyle w:val="InternetLink"/>
                  <w:rFonts w:ascii="Times New Roman;Times;serif" w:hAnsi="Times New Roman;Times;serif"/>
                  <w:b w:val="false"/>
                  <w:i w:val="false"/>
                  <w:caps w:val="false"/>
                  <w:smallCaps w:val="false"/>
                  <w:sz w:val="20"/>
                </w:rPr>
                <w:t>Certification of Chief Executive Officer pursuant to Exchange Act Rules 13a-14(a) and 15d-14(a), as adopted pursuant to Section 302 of the Sarbanes-Oxley Act of 2002</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w:anchor="tmb-20251231xex31d2.htm">
              <w:r>
                <w:rPr>
                  <w:rStyle w:val="InternetLink"/>
                  <w:rFonts w:ascii="Times New Roman;Times;serif" w:hAnsi="Times New Roman;Times;serif"/>
                  <w:b w:val="false"/>
                  <w:i w:val="false"/>
                  <w:caps w:val="false"/>
                  <w:smallCaps w:val="false"/>
                  <w:sz w:val="20"/>
                </w:rPr>
                <w:t>Certification of Chief Financial Officer pursuant to Exchange Act Rules 13a-14(a) and 15d-14(a), as adopted pursuant to Section 302 of the Sarbanes-Oxley Act of 2002</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w:anchor="tmb-202512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w:anchor="tmb-202512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Claw Back Policy (incorporated by reference to Exhibit 97.1 to Binah Capital Groupm Inc.’s Form 10-K for the year ended December 31, 2024).</w:t>
              </w:r>
            </w:hyperlink>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XBRL Instance Document</w:t>
            </w:r>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XBRL Taxonomy Extension Calculation Linkbase Document</w:t>
            </w:r>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XBRL Taxonomy Extension Schema Document</w:t>
            </w:r>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XBRL Taxonomy Extension Definition Linkbase Document</w:t>
            </w:r>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w:t>
            </w:r>
            <w:r>
              <w:rPr>
                <w:rFonts w:ascii="Times New Roman;Times;serif" w:hAnsi="Times New Roman;Times;serif"/>
                <w:color w:val="212529"/>
                <w:sz w:val="20"/>
                <w:shd w:fill="FFFFFF" w:val="clear"/>
              </w:rPr>
              <w:t>BRL Taxonomy Extension Labels Linkbase Document</w:t>
            </w:r>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XBRL Taxonomy Extension Presentation Linkbase Document</w:t>
            </w:r>
          </w:p>
        </w:tc>
      </w:tr>
      <w:tr>
        <w:trPr/>
        <w:tc>
          <w:tcPr>
            <w:tcW w:w="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286" w:type="dxa"/>
            <w:tcBorders/>
            <w:vAlign w:val="center"/>
          </w:tcPr>
          <w:p>
            <w:pPr>
              <w:pStyle w:val="TableContents"/>
              <w:bidi w:val="0"/>
              <w:spacing w:before="0" w:after="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Cover Page Interactive Data File (formatted as inline XBRL and contained in Exhibit 101)</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both"/>
              <w:rPr/>
            </w:pPr>
            <w:r>
              <w:rPr/>
              <w:t>†</w:t>
            </w:r>
          </w:p>
        </w:tc>
        <w:tc>
          <w:tcPr>
            <w:tcW w:w="99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Regulation S-K Item 601(b)(2). The Company agrees to furnish supplementally a copy of all omitted exhibits and schedules to the SEC upon its request.</w:t>
            </w:r>
          </w:p>
        </w:tc>
      </w:tr>
    </w:tbl>
    <w:tbl>
      <w:tblPr>
        <w:tblW w:w="5267" w:type="dxa"/>
        <w:jc w:val="left"/>
        <w:tblInd w:w="0" w:type="dxa"/>
        <w:tblLayout w:type="fixed"/>
        <w:tblCellMar>
          <w:top w:w="0" w:type="dxa"/>
          <w:left w:w="0" w:type="dxa"/>
          <w:bottom w:w="0" w:type="dxa"/>
          <w:right w:w="0" w:type="dxa"/>
        </w:tblCellMar>
      </w:tblPr>
      <w:tblGrid>
        <w:gridCol w:w="241"/>
        <w:gridCol w:w="5026"/>
      </w:tblGrid>
      <w:tr>
        <w:trPr/>
        <w:tc>
          <w:tcPr>
            <w:tcW w:w="241" w:type="dxa"/>
            <w:tcBorders/>
            <w:vAlign w:val="center"/>
          </w:tcPr>
          <w:p>
            <w:pPr>
              <w:pStyle w:val="TableContents"/>
              <w:bidi w:val="0"/>
              <w:spacing w:before="0" w:after="0"/>
              <w:jc w:val="both"/>
              <w:rPr/>
            </w:pPr>
            <w:r>
              <w:rPr/>
              <w:t>‡</w:t>
            </w:r>
          </w:p>
        </w:tc>
        <w:tc>
          <w:tcPr>
            <w:tcW w:w="50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1577" w:type="dxa"/>
        <w:jc w:val="left"/>
        <w:tblInd w:w="0" w:type="dxa"/>
        <w:tblLayout w:type="fixed"/>
        <w:tblCellMar>
          <w:top w:w="0" w:type="dxa"/>
          <w:left w:w="0" w:type="dxa"/>
          <w:bottom w:w="0" w:type="dxa"/>
          <w:right w:w="0" w:type="dxa"/>
        </w:tblCellMar>
      </w:tblPr>
      <w:tblGrid>
        <w:gridCol w:w="226"/>
        <w:gridCol w:w="1351"/>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3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Herewith</w:t>
            </w:r>
          </w:p>
        </w:tc>
      </w:tr>
    </w:tbl>
    <w:tbl>
      <w:tblPr>
        <w:tblW w:w="2072" w:type="dxa"/>
        <w:jc w:val="left"/>
        <w:tblInd w:w="0" w:type="dxa"/>
        <w:tblLayout w:type="fixed"/>
        <w:tblCellMar>
          <w:top w:w="0" w:type="dxa"/>
          <w:left w:w="0" w:type="dxa"/>
          <w:bottom w:w="0" w:type="dxa"/>
          <w:right w:w="0" w:type="dxa"/>
        </w:tblCellMar>
      </w:tblPr>
      <w:tblGrid>
        <w:gridCol w:w="331"/>
        <w:gridCol w:w="1741"/>
      </w:tblGrid>
      <w:tr>
        <w:trPr/>
        <w:tc>
          <w:tcPr>
            <w:tcW w:w="3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7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bookmarkStart w:id="77" w:name="ITEM16FORM10KSUMMARY_700677"/>
      <w:bookmarkStart w:id="78" w:name="_5d44e936_7213_47e6_ba48_b588edf555e0"/>
      <w:bookmarkEnd w:id="77"/>
      <w:bookmarkEnd w:id="78"/>
      <w:r>
        <w:rPr>
          <w:rFonts w:ascii="Times New Roman;Times;serif" w:hAnsi="Times New Roman;Times;serif"/>
          <w:b/>
          <w:sz w:val="20"/>
        </w:rPr>
        <w:t>ITEM 16. FORM 10-K SUMMARY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9" w:name="SIGNATURES_102858"/>
      <w:bookmarkStart w:id="80" w:name="_289816e2_a6e9_4ea0_a909_c7f819d0987a"/>
      <w:bookmarkEnd w:id="79"/>
      <w:bookmarkEnd w:id="80"/>
      <w:r>
        <w:rPr>
          <w:rFonts w:ascii="Times New Roman;Times;serif" w:hAnsi="Times New Roman;Times;serif"/>
          <w:b/>
          <w:sz w:val="20"/>
        </w:rPr>
        <w:t>SIGNATURES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requirements of Section 13 or 15(d) of the Securities Exchange Act of 1934, as amended, the Registrant has duly caused this Annual Report on Form 10-K to be signed on its behalf by the undersigned, thereunto duly authorized on this    </w:t>
      </w:r>
      <w:r>
        <w:rPr>
          <w:rFonts w:ascii="Times New Roman;Times;serif" w:hAnsi="Times New Roman;Times;serif"/>
          <w:sz w:val="15"/>
        </w:rPr>
        <w:t>th</w:t>
      </w:r>
      <w:r>
        <w:rPr>
          <w:rFonts w:ascii="Times New Roman;Times;serif" w:hAnsi="Times New Roman;Times;serif"/>
          <w:sz w:val="20"/>
        </w:rPr>
        <w:t xml:space="preserve"> day of March, 2026.</w:t>
      </w:r>
    </w:p>
    <w:tbl>
      <w:tblPr>
        <w:tblW w:w="3071" w:type="dxa"/>
        <w:jc w:val="left"/>
        <w:tblInd w:w="0" w:type="dxa"/>
        <w:tblLayout w:type="fixed"/>
        <w:tblCellMar>
          <w:top w:w="0" w:type="dxa"/>
          <w:left w:w="0" w:type="dxa"/>
          <w:bottom w:w="0" w:type="dxa"/>
          <w:right w:w="0" w:type="dxa"/>
        </w:tblCellMar>
      </w:tblPr>
      <w:tblGrid>
        <w:gridCol w:w="161"/>
        <w:gridCol w:w="716"/>
        <w:gridCol w:w="2194"/>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16" w:type="dxa"/>
            <w:tcBorders/>
            <w:vAlign w:val="center"/>
          </w:tcPr>
          <w:p>
            <w:pPr>
              <w:pStyle w:val="TableContents"/>
              <w:bidi w:val="0"/>
              <w:spacing w:before="0" w:after="283"/>
              <w:ind w:left="0" w:right="0" w:hanging="0"/>
              <w:jc w:val="left"/>
              <w:rPr>
                <w:sz w:val="4"/>
                <w:szCs w:val="4"/>
              </w:rPr>
            </w:pPr>
            <w:r>
              <w:rPr>
                <w:sz w:val="4"/>
                <w:szCs w:val="4"/>
              </w:rPr>
            </w:r>
          </w:p>
        </w:tc>
        <w:tc>
          <w:tcPr>
            <w:tcW w:w="219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9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BINAH CAPITAL GROUP, INC.</w:t>
            </w:r>
          </w:p>
        </w:tc>
      </w:tr>
      <w:tr>
        <w:trPr/>
        <w:tc>
          <w:tcPr>
            <w:tcW w:w="161"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left"/>
              <w:rPr/>
            </w:pPr>
            <w:r>
              <w:rPr/>
              <w:t> </w:t>
            </w:r>
          </w:p>
        </w:tc>
        <w:tc>
          <w:tcPr>
            <w:tcW w:w="2194"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61"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219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61"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as amended, this Annual Report on Form 10-K has been signed below by the following persons on behalf of the Registrant and in the capacities and on the dates indicated. The undersigned hereby constitute and appoint Craig Gould and David Shane, and each of them, their true and lawful agents and attorneys-in-fact with full power and authority in said agents and attorneys-in-fact, and in any one or more of them, to sign for the undersigned and in their respective names as Directors and officers of Binah Capital Group, Inc. any amendment or supplement hereto. The undersigned hereby confirm all acts taken by such agents and attorneys-in-fact, or any one or more of them, as herein authorized.</w:t>
      </w:r>
    </w:p>
    <w:tbl>
      <w:tblPr>
        <w:tblW w:w="8215" w:type="dxa"/>
        <w:jc w:val="left"/>
        <w:tblInd w:w="0" w:type="dxa"/>
        <w:tblLayout w:type="fixed"/>
        <w:tblCellMar>
          <w:top w:w="0" w:type="dxa"/>
          <w:left w:w="0" w:type="dxa"/>
          <w:bottom w:w="0" w:type="dxa"/>
          <w:right w:w="0" w:type="dxa"/>
        </w:tblCellMar>
      </w:tblPr>
      <w:tblGrid>
        <w:gridCol w:w="1456"/>
        <w:gridCol w:w="146"/>
        <w:gridCol w:w="5101"/>
        <w:gridCol w:w="146"/>
        <w:gridCol w:w="136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1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283"/>
              <w:ind w:left="0" w:right="0" w:hanging="0"/>
              <w:jc w:val="left"/>
              <w:rPr>
                <w:sz w:val="4"/>
                <w:szCs w:val="4"/>
              </w:rPr>
            </w:pPr>
            <w:r>
              <w:rPr>
                <w:sz w:val="4"/>
                <w:szCs w:val="4"/>
              </w:rPr>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146" w:type="dxa"/>
            <w:tcBorders/>
            <w:vAlign w:val="center"/>
          </w:tcPr>
          <w:p>
            <w:pPr>
              <w:pStyle w:val="TableContents"/>
              <w:bidi w:val="0"/>
              <w:spacing w:before="0" w:after="0"/>
              <w:ind w:left="0" w:right="0" w:hanging="0"/>
              <w:jc w:val="left"/>
              <w:rPr/>
            </w:pPr>
            <w:r>
              <w:rPr/>
              <w:t> </w:t>
            </w:r>
          </w:p>
        </w:tc>
        <w:tc>
          <w:tcPr>
            <w:tcW w:w="5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146"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1"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 2026</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Director</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 2026</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Crane</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 2026</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Crane</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Hynes</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 2026</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Hynes</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Joel Marks</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 2026</w:t>
            </w:r>
          </w:p>
        </w:tc>
      </w:tr>
      <w:tr>
        <w:trPr/>
        <w:tc>
          <w:tcPr>
            <w:tcW w:w="14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Joel Marks</w:t>
            </w:r>
          </w:p>
        </w:tc>
        <w:tc>
          <w:tcPr>
            <w:tcW w:w="146" w:type="dxa"/>
            <w:tcBorders/>
            <w:vAlign w:val="center"/>
          </w:tcPr>
          <w:p>
            <w:pPr>
              <w:pStyle w:val="TableContents"/>
              <w:bidi w:val="0"/>
              <w:spacing w:before="0" w:after="0"/>
              <w:ind w:left="0" w:right="0" w:hanging="0"/>
              <w:jc w:val="left"/>
              <w:rPr/>
            </w:pPr>
            <w:r>
              <w:rPr/>
              <w:t> </w:t>
            </w:r>
          </w:p>
        </w:tc>
        <w:tc>
          <w:tcPr>
            <w:tcW w:w="51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1" w:name="_097c0990_1fe2_4073_8386_3219bdcf92c0"/>
      <w:bookmarkEnd w:id="81"/>
      <w:r>
        <w:rPr>
          <w:rFonts w:ascii="Times New Roman;Times;serif" w:hAnsi="Times New Roman;Times;serif"/>
          <w:b/>
          <w:sz w:val="20"/>
        </w:rPr>
        <w:t>BINAH CAPITAL GROUP, INC.</w:t>
        <w:br/>
        <w:t>DECEMBER 31, 2025 AND 2024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5957" w:type="dxa"/>
        <w:jc w:val="left"/>
        <w:tblInd w:w="0" w:type="dxa"/>
        <w:tblLayout w:type="fixed"/>
        <w:tblCellMar>
          <w:top w:w="0" w:type="dxa"/>
          <w:left w:w="0" w:type="dxa"/>
          <w:bottom w:w="0" w:type="dxa"/>
          <w:right w:w="0" w:type="dxa"/>
        </w:tblCellMar>
      </w:tblPr>
      <w:tblGrid>
        <w:gridCol w:w="5101"/>
        <w:gridCol w:w="856"/>
      </w:tblGrid>
      <w:tr>
        <w:trPr/>
        <w:tc>
          <w:tcPr>
            <w:tcW w:w="5101"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5101" w:type="dxa"/>
            <w:tcBorders/>
            <w:vAlign w:val="center"/>
          </w:tcPr>
          <w:p>
            <w:pPr>
              <w:pStyle w:val="TableContents"/>
              <w:pBdr/>
              <w:bidi w:val="0"/>
              <w:spacing w:before="170" w:after="283"/>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r>
      <w:tr>
        <w:trPr/>
        <w:tc>
          <w:tcPr>
            <w:tcW w:w="5101" w:type="dxa"/>
            <w:tcBorders/>
            <w:shd w:fill="CCEEFF" w:val="clear"/>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i w:val="false"/>
                  <w:caps w:val="false"/>
                  <w:smallCaps w:val="false"/>
                  <w:sz w:val="20"/>
                </w:rPr>
                <w:t>INDEPENDENT AUDITOR’S REPORT</w:t>
              </w:r>
            </w:hyperlink>
            <w:r>
              <w:rPr>
                <w:rFonts w:ascii="Garamond" w:hAnsi="Garamond"/>
                <w:b/>
                <w:sz w:val="24"/>
              </w:rPr>
              <w:t xml:space="preserve"> </w:t>
            </w:r>
            <w:r>
              <w:rPr>
                <w:rFonts w:ascii="Times New Roman;Times;serif" w:hAnsi="Times New Roman;Times;serif"/>
                <w:b/>
                <w:sz w:val="20"/>
              </w:rPr>
              <w:t>(PCAOB ID 3968)</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51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w:t>
            </w:r>
          </w:p>
        </w:tc>
        <w:tc>
          <w:tcPr>
            <w:tcW w:w="856" w:type="dxa"/>
            <w:tcBorders/>
            <w:vAlign w:val="center"/>
          </w:tcPr>
          <w:p>
            <w:pPr>
              <w:pStyle w:val="TableContents"/>
              <w:bidi w:val="0"/>
              <w:spacing w:before="0" w:after="0"/>
              <w:ind w:left="0" w:right="0" w:hanging="0"/>
              <w:jc w:val="center"/>
              <w:rPr/>
            </w:pPr>
            <w:r>
              <w:rPr/>
              <w:t>​</w:t>
            </w:r>
          </w:p>
        </w:tc>
      </w:tr>
      <w:tr>
        <w:trPr/>
        <w:tc>
          <w:tcPr>
            <w:tcW w:w="5101" w:type="dxa"/>
            <w:tcBorders/>
            <w:shd w:fill="CCEEFF" w:val="clear"/>
            <w:vAlign w:val="center"/>
          </w:tcPr>
          <w:p>
            <w:pPr>
              <w:pStyle w:val="TableContents"/>
              <w:pBdr/>
              <w:bidi w:val="0"/>
              <w:spacing w:before="0" w:after="0"/>
              <w:ind w:left="0" w:right="0" w:hanging="0"/>
              <w:jc w:val="left"/>
              <w:rPr/>
            </w:pPr>
            <w:hyperlink w:anchor="CONSOLIDATEDSTATEMENTSOFFINANCIALCONDITI">
              <w:r>
                <w:rPr>
                  <w:rStyle w:val="InternetLink"/>
                  <w:rFonts w:ascii="Times New Roman;Times;serif" w:hAnsi="Times New Roman;Times;serif"/>
                  <w:b w:val="false"/>
                  <w:i w:val="false"/>
                  <w:caps w:val="false"/>
                  <w:smallCaps w:val="false"/>
                  <w:sz w:val="20"/>
                </w:rPr>
                <w:t>Consolidated Statements of Financial Condition</w:t>
              </w:r>
            </w:hyperlink>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5101" w:type="dxa"/>
            <w:tcBorders/>
            <w:vAlign w:val="center"/>
          </w:tcPr>
          <w:p>
            <w:pPr>
              <w:pStyle w:val="TableContents"/>
              <w:pBdr/>
              <w:bidi w:val="0"/>
              <w:spacing w:before="0" w:after="0"/>
              <w:ind w:left="0" w:right="0" w:hanging="0"/>
              <w:jc w:val="left"/>
              <w:rPr/>
            </w:pPr>
            <w:hyperlink w:anchor="CONSOLIDATEDSTATEMENTSOFOPERATIONS_78334">
              <w:r>
                <w:rPr>
                  <w:rStyle w:val="InternetLink"/>
                  <w:rFonts w:ascii="Times New Roman;Times;serif" w:hAnsi="Times New Roman;Times;serif"/>
                  <w:b w:val="false"/>
                  <w:i w:val="false"/>
                  <w:caps w:val="false"/>
                  <w:smallCaps w:val="false"/>
                  <w:sz w:val="20"/>
                </w:rPr>
                <w:t>Consolidated Statements of Operations</w:t>
              </w:r>
            </w:hyperlink>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5101" w:type="dxa"/>
            <w:tcBorders/>
            <w:shd w:fill="CCEEFF" w:val="clear"/>
            <w:vAlign w:val="center"/>
          </w:tcPr>
          <w:p>
            <w:pPr>
              <w:pStyle w:val="TableContents"/>
              <w:pBdr/>
              <w:bidi w:val="0"/>
              <w:spacing w:before="0" w:after="0"/>
              <w:ind w:left="0" w:right="0" w:hanging="0"/>
              <w:jc w:val="left"/>
              <w:rPr/>
            </w:pPr>
            <w:hyperlink w:anchor="CONSOLIDATEDSTATEMENTSOFCHANGESINMEMBERS">
              <w:r>
                <w:rPr>
                  <w:rStyle w:val="InternetLink"/>
                  <w:rFonts w:ascii="Times New Roman;Times;serif" w:hAnsi="Times New Roman;Times;serif"/>
                  <w:b w:val="false"/>
                  <w:i w:val="false"/>
                  <w:caps w:val="false"/>
                  <w:smallCaps w:val="false"/>
                  <w:sz w:val="20"/>
                </w:rPr>
                <w:t>Consolidated Statements of Changes in Stockholders’ Equity</w:t>
              </w:r>
            </w:hyperlink>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5101" w:type="dxa"/>
            <w:tcBorders/>
            <w:vAlign w:val="center"/>
          </w:tcPr>
          <w:p>
            <w:pPr>
              <w:pStyle w:val="TableContents"/>
              <w:pBdr/>
              <w:bidi w:val="0"/>
              <w:spacing w:before="0" w:after="0"/>
              <w:ind w:left="0" w:right="0" w:hanging="0"/>
              <w:jc w:val="left"/>
              <w:rPr/>
            </w:pPr>
            <w:hyperlink w:anchor="COMPREHENSIVEINCOME_151821">
              <w:r>
                <w:rPr>
                  <w:rStyle w:val="InternetLink"/>
                  <w:rFonts w:ascii="Times New Roman;Times;serif" w:hAnsi="Times New Roman;Times;serif"/>
                  <w:b w:val="false"/>
                  <w:i w:val="false"/>
                  <w:caps w:val="false"/>
                  <w:smallCaps w:val="false"/>
                  <w:sz w:val="20"/>
                </w:rPr>
                <w:t>Consolidated Statements of Comprehensive Income (Loss)</w:t>
              </w:r>
            </w:hyperlink>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5101" w:type="dxa"/>
            <w:tcBorders/>
            <w:shd w:fill="CCEEFF" w:val="clear"/>
            <w:vAlign w:val="center"/>
          </w:tcPr>
          <w:p>
            <w:pPr>
              <w:pStyle w:val="TableContents"/>
              <w:pBdr/>
              <w:bidi w:val="0"/>
              <w:spacing w:before="0" w:after="0"/>
              <w:ind w:left="0" w:right="0" w:hanging="0"/>
              <w:jc w:val="left"/>
              <w:rPr/>
            </w:pPr>
            <w:hyperlink w:anchor="CONSOLIDATEDSTATEMENTSOFCASHFLOWS_104180">
              <w:r>
                <w:rPr>
                  <w:rStyle w:val="InternetLink"/>
                  <w:rFonts w:ascii="Times New Roman;Times;serif" w:hAnsi="Times New Roman;Times;serif"/>
                  <w:b w:val="false"/>
                  <w:i w:val="false"/>
                  <w:caps w:val="false"/>
                  <w:smallCaps w:val="false"/>
                  <w:sz w:val="20"/>
                </w:rPr>
                <w:t>Consolidated Statements of Cash Flows</w:t>
              </w:r>
            </w:hyperlink>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5101" w:type="dxa"/>
            <w:tcBorders/>
            <w:vAlign w:val="center"/>
          </w:tcPr>
          <w:p>
            <w:pPr>
              <w:pStyle w:val="TableContents"/>
              <w:bidi w:val="0"/>
              <w:spacing w:before="0" w:after="0"/>
              <w:ind w:left="0" w:right="0" w:hanging="0"/>
              <w:jc w:val="left"/>
              <w:rPr/>
            </w:pPr>
            <w:hyperlink w:anchor="a1ORGANIZATIONANDNATUREOFBUSINESS_515487">
              <w:r>
                <w:rPr>
                  <w:rStyle w:val="InternetLink"/>
                  <w:rFonts w:ascii="Times New Roman;Times;serif" w:hAnsi="Times New Roman;Times;serif"/>
                  <w:b w:val="false"/>
                  <w:i w:val="false"/>
                  <w:caps w:val="false"/>
                  <w:smallCaps w:val="false"/>
                  <w:sz w:val="20"/>
                </w:rPr>
                <w:t>Notes to the Consolidated Financial Statements</w:t>
              </w:r>
            </w:hyperlink>
          </w:p>
        </w:tc>
        <w:tc>
          <w:tcPr>
            <w:tcW w:w="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F-8-F-32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2" w:name="_ac6aeef0_1de4_4375_8aab_b9210ebcc3e9"/>
      <w:bookmarkEnd w:id="82"/>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FINANCIAL STATEMENTS AND INDEPENDENT AUDITOR’S REPORT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center"/>
        <w:rPr>
          <w:rFonts w:ascii="Times New Roman;Times;serif" w:hAnsi="Times New Roman;Times;serif"/>
          <w:b/>
          <w:sz w:val="20"/>
        </w:rPr>
      </w:pPr>
      <w:bookmarkStart w:id="83" w:name="REPORTOFINDEPENDENTREGISTEREDPUBLICACCOU"/>
      <w:bookmarkEnd w:id="83"/>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the Audit Committee and Stockholders of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Binah Capital Group, Inc.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Opinion on the Consolidated Financial Statement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statements of financial condition of Binah Capital Group, Inc. (the “Company”) as of December 31, 2025 and 2024, and the related consolidated statements of operations, changes in stockholders’ equity, comprehensive income (loss), and cash flows for each of the years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ended December 31, 2025 and 2024, in conformity with accounting principles generally accepted in the United States of America.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Critical audit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were no critical audit matters.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FGMK LLC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served as the Company’s auditor since 2021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Chicago, Illinois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31,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4" w:name="_ecabac5d_a77f_4db1_ad0e_ca4e175b24b7"/>
      <w:bookmarkEnd w:id="84"/>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85" w:name="CONSOLIDATEDSTATEMENTSOFFINANCIALCONDITI"/>
      <w:bookmarkStart w:id="86" w:name="_Hlk193560483"/>
      <w:bookmarkEnd w:id="85"/>
      <w:bookmarkEnd w:id="86"/>
      <w:r>
        <w:rPr>
          <w:rFonts w:ascii="Times New Roman;Times;serif" w:hAnsi="Times New Roman;Times;serif"/>
          <w:b/>
          <w:sz w:val="20"/>
        </w:rPr>
        <w:t>CONSOLIDATED STATEMENTS OF FINANCIAL CONDITION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 AND 2024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Normal"/>
        <w:bidi w:val="0"/>
        <w:spacing w:before="0" w:after="0"/>
        <w:jc w:val="left"/>
        <w:rPr>
          <w:sz w:val="4"/>
          <w:szCs w:val="4"/>
        </w:rPr>
      </w:pPr>
      <w:r>
        <w:rPr>
          <w:sz w:val="4"/>
          <w:szCs w:val="4"/>
        </w:rPr>
      </w:r>
      <w:bookmarkStart w:id="87" w:name="Tc_vVNlErGlHkGvtJbw7Z2M1A_39_5"/>
      <w:bookmarkStart w:id="88" w:name="Tc_8txTAUsHFEKHaBEuVQ_PAg_39_2"/>
      <w:bookmarkStart w:id="89" w:name="Tc_5oe_SLvsgE6qN3XVeG8yfg_39_0"/>
      <w:bookmarkStart w:id="90" w:name="Tc_QPXdEZQNxk2ivMsNErdeLg_37_0"/>
      <w:bookmarkStart w:id="91" w:name="Tc_mJOMCtDG20im81t_8yynAg_36_0"/>
      <w:bookmarkStart w:id="92" w:name="Tc_BQXJ3fFddEOG4IfISLTu1A_35_0"/>
      <w:bookmarkStart w:id="93" w:name="Tc_BgU_C8ltGU2FKNFm-h3YIQ_34_0"/>
      <w:bookmarkStart w:id="94" w:name="Tc_9yRaQpzSp0egtaDyR2ZFiw_33_0"/>
      <w:bookmarkStart w:id="95" w:name="Tc_2Sulu1jbFUyIdUFUfkcmgw_32_0"/>
      <w:bookmarkStart w:id="96" w:name="Tc_xB1_zN3MRUSOLWyVZzNktw_31_0"/>
      <w:bookmarkStart w:id="97" w:name="Tc_4McyHWijJEyHK8pCBOBwbg_30_0"/>
      <w:bookmarkStart w:id="98" w:name="Tc_djngv4knykCTuDyR6TBnkw_29_0"/>
      <w:bookmarkStart w:id="99" w:name="Tc_fjcTjDfxUkKC2jk7Re8shA_27_0"/>
      <w:bookmarkStart w:id="100" w:name="Tc_DvUQo95TmUOgb6oUKe9kFA_25_0"/>
      <w:bookmarkStart w:id="101" w:name="Tc_-0VAjbycQ0GpKYsXBjhQqA_24_0"/>
      <w:bookmarkStart w:id="102" w:name="Tc_R2FeNpXZXEyuffjYzytlCg_23_0"/>
      <w:bookmarkStart w:id="103" w:name="Tc__Wd-s_xqhkWtKx0DLc5Avg_22_0"/>
      <w:bookmarkStart w:id="104" w:name="Tc_Gt7MdxUzwEi9WDx2_2fRcw_21_5"/>
      <w:bookmarkStart w:id="105" w:name="Tc_-VNMGFNnK0a7vUkTtW8iTw_21_2"/>
      <w:bookmarkStart w:id="106" w:name="Tc_ji_ryrb1OkKiJLfFOYUQvA_21_0"/>
      <w:bookmarkStart w:id="107" w:name="Tc_CfT_VB5tF06KJm0VO_kKLg_20_0"/>
      <w:bookmarkStart w:id="108" w:name="Tc_cP7SxXDUAk65KM4EJOneVA_18_0"/>
      <w:bookmarkStart w:id="109" w:name="Tc_JzCdWiLOjECvdzJblhglPQ_15_5"/>
      <w:bookmarkStart w:id="110" w:name="Tc_8JSu61I9BUqFTudEPt7XFg_15_2"/>
      <w:bookmarkStart w:id="111" w:name="Tc_eKE9MB0OB02XukRXRQgJ7w_15_0"/>
      <w:bookmarkStart w:id="112" w:name="Tc_4HlvIwAMBkuDqYlnIo8WXQ_13_0"/>
      <w:bookmarkStart w:id="113" w:name="Tc_K90vLJl0lU6GK0JFG9lrXg_12_0"/>
      <w:bookmarkStart w:id="114" w:name="Tc_zwv_eX-PoEWO7UKiDFSMxQ_11_0"/>
      <w:bookmarkStart w:id="115" w:name="Tc_ddB1iDoQ8EC2wGoztTKQDg_10_0"/>
      <w:bookmarkStart w:id="116" w:name="Tc_8BKqCiIC3UChJNJZvj2P3A_9_0"/>
      <w:bookmarkStart w:id="117" w:name="Tc_cpWeqibiAkmXwxWTQY1Q7A_8_0"/>
      <w:bookmarkStart w:id="118" w:name="Tc_r0SFYmqo5EeW2ArB0pEIwQ_7_0"/>
      <w:bookmarkStart w:id="119" w:name="Tc_LJQrm24_vUiUh4BUngIsKQ_6_0"/>
      <w:bookmarkStart w:id="120" w:name="Tc_4sejY2gbQk6mapRVHoCN9w_5_0"/>
      <w:bookmarkStart w:id="121" w:name="Tc_MyYL4pjRp0-urUhjw7xXoA_4_5"/>
      <w:bookmarkStart w:id="122" w:name="Tc_EjVpewzsYUm7pTadwdGNLw_4_2"/>
      <w:bookmarkStart w:id="123" w:name="Tc_3thlFJi0aUyhB7Jcr-09Ow_4_0"/>
      <w:bookmarkStart w:id="124" w:name="Tc_rJjqHBil1EywhGb8PIh55g_3_0"/>
      <w:bookmarkStart w:id="125" w:name="Tc_eFy-Ott8402ZASfymZNRUA_2_0"/>
      <w:bookmarkStart w:id="126" w:name="Tc_5AKOEEiqMk65fXhLCM1Wpg_1_5"/>
      <w:bookmarkStart w:id="127" w:name="Tc_3LdZA8RvokOqXwvBM_ckqw_1_2"/>
      <w:bookmarkStart w:id="128" w:name="_20d6a4e4_4975_4b1f_ad18_35a34d1c0e2c"/>
      <w:bookmarkStart w:id="129" w:name="Tc_vVNlErGlHkGvtJbw7Z2M1A_39_5"/>
      <w:bookmarkStart w:id="130" w:name="Tc_8txTAUsHFEKHaBEuVQ_PAg_39_2"/>
      <w:bookmarkStart w:id="131" w:name="Tc_5oe_SLvsgE6qN3XVeG8yfg_39_0"/>
      <w:bookmarkStart w:id="132" w:name="Tc_QPXdEZQNxk2ivMsNErdeLg_37_0"/>
      <w:bookmarkStart w:id="133" w:name="Tc_mJOMCtDG20im81t_8yynAg_36_0"/>
      <w:bookmarkStart w:id="134" w:name="Tc_BQXJ3fFddEOG4IfISLTu1A_35_0"/>
      <w:bookmarkStart w:id="135" w:name="Tc_BgU_C8ltGU2FKNFm-h3YIQ_34_0"/>
      <w:bookmarkStart w:id="136" w:name="Tc_9yRaQpzSp0egtaDyR2ZFiw_33_0"/>
      <w:bookmarkStart w:id="137" w:name="Tc_2Sulu1jbFUyIdUFUfkcmgw_32_0"/>
      <w:bookmarkStart w:id="138" w:name="Tc_xB1_zN3MRUSOLWyVZzNktw_31_0"/>
      <w:bookmarkStart w:id="139" w:name="Tc_4McyHWijJEyHK8pCBOBwbg_30_0"/>
      <w:bookmarkStart w:id="140" w:name="Tc_djngv4knykCTuDyR6TBnkw_29_0"/>
      <w:bookmarkStart w:id="141" w:name="Tc_fjcTjDfxUkKC2jk7Re8shA_27_0"/>
      <w:bookmarkStart w:id="142" w:name="Tc_DvUQo95TmUOgb6oUKe9kFA_25_0"/>
      <w:bookmarkStart w:id="143" w:name="Tc_-0VAjbycQ0GpKYsXBjhQqA_24_0"/>
      <w:bookmarkStart w:id="144" w:name="Tc_R2FeNpXZXEyuffjYzytlCg_23_0"/>
      <w:bookmarkStart w:id="145" w:name="Tc__Wd-s_xqhkWtKx0DLc5Avg_22_0"/>
      <w:bookmarkStart w:id="146" w:name="Tc_Gt7MdxUzwEi9WDx2_2fRcw_21_5"/>
      <w:bookmarkStart w:id="147" w:name="Tc_-VNMGFNnK0a7vUkTtW8iTw_21_2"/>
      <w:bookmarkStart w:id="148" w:name="Tc_ji_ryrb1OkKiJLfFOYUQvA_21_0"/>
      <w:bookmarkStart w:id="149" w:name="Tc_CfT_VB5tF06KJm0VO_kKLg_20_0"/>
      <w:bookmarkStart w:id="150" w:name="Tc_cP7SxXDUAk65KM4EJOneVA_18_0"/>
      <w:bookmarkStart w:id="151" w:name="Tc_JzCdWiLOjECvdzJblhglPQ_15_5"/>
      <w:bookmarkStart w:id="152" w:name="Tc_8JSu61I9BUqFTudEPt7XFg_15_2"/>
      <w:bookmarkStart w:id="153" w:name="Tc_eKE9MB0OB02XukRXRQgJ7w_15_0"/>
      <w:bookmarkStart w:id="154" w:name="Tc_4HlvIwAMBkuDqYlnIo8WXQ_13_0"/>
      <w:bookmarkStart w:id="155" w:name="Tc_K90vLJl0lU6GK0JFG9lrXg_12_0"/>
      <w:bookmarkStart w:id="156" w:name="Tc_zwv_eX-PoEWO7UKiDFSMxQ_11_0"/>
      <w:bookmarkStart w:id="157" w:name="Tc_ddB1iDoQ8EC2wGoztTKQDg_10_0"/>
      <w:bookmarkStart w:id="158" w:name="Tc_8BKqCiIC3UChJNJZvj2P3A_9_0"/>
      <w:bookmarkStart w:id="159" w:name="Tc_cpWeqibiAkmXwxWTQY1Q7A_8_0"/>
      <w:bookmarkStart w:id="160" w:name="Tc_r0SFYmqo5EeW2ArB0pEIwQ_7_0"/>
      <w:bookmarkStart w:id="161" w:name="Tc_LJQrm24_vUiUh4BUngIsKQ_6_0"/>
      <w:bookmarkStart w:id="162" w:name="Tc_4sejY2gbQk6mapRVHoCN9w_5_0"/>
      <w:bookmarkStart w:id="163" w:name="Tc_MyYL4pjRp0-urUhjw7xXoA_4_5"/>
      <w:bookmarkStart w:id="164" w:name="Tc_EjVpewzsYUm7pTadwdGNLw_4_2"/>
      <w:bookmarkStart w:id="165" w:name="Tc_3thlFJi0aUyhB7Jcr-09Ow_4_0"/>
      <w:bookmarkStart w:id="166" w:name="Tc_rJjqHBil1EywhGb8PIh55g_3_0"/>
      <w:bookmarkStart w:id="167" w:name="Tc_eFy-Ott8402ZASfymZNRUA_2_0"/>
      <w:bookmarkStart w:id="168" w:name="Tc_5AKOEEiqMk65fXhLCM1Wpg_1_5"/>
      <w:bookmarkStart w:id="169" w:name="Tc_3LdZA8RvokOqXwvBM_ckqw_1_2"/>
      <w:bookmarkStart w:id="170" w:name="_20d6a4e4_4975_4b1f_ad18_35a34d1c0e2c"/>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bl>
      <w:tblPr>
        <w:tblW w:w="10205" w:type="dxa"/>
        <w:jc w:val="left"/>
        <w:tblInd w:w="0" w:type="dxa"/>
        <w:tblLayout w:type="fixed"/>
        <w:tblCellMar>
          <w:top w:w="0" w:type="dxa"/>
          <w:left w:w="0" w:type="dxa"/>
          <w:bottom w:w="0" w:type="dxa"/>
          <w:right w:w="0" w:type="dxa"/>
        </w:tblCellMar>
      </w:tblPr>
      <w:tblGrid>
        <w:gridCol w:w="7696"/>
        <w:gridCol w:w="346"/>
        <w:gridCol w:w="196"/>
        <w:gridCol w:w="689"/>
        <w:gridCol w:w="346"/>
        <w:gridCol w:w="196"/>
        <w:gridCol w:w="736"/>
      </w:tblGrid>
      <w:tr>
        <w:trPr/>
        <w:tc>
          <w:tcPr>
            <w:tcW w:w="7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120" name="Frame1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7515" cy="175260"/>
                      <wp:effectExtent l="0" t="0" r="0" b="0"/>
                      <wp:wrapNone/>
                      <wp:docPr id="121" name="Frame12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460" cy="175260"/>
                      <wp:effectExtent l="0" t="0" r="0" b="0"/>
                      <wp:wrapNone/>
                      <wp:docPr id="123" name="Frame1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67360" cy="175260"/>
                      <wp:effectExtent l="0" t="0" r="0" b="0"/>
                      <wp:wrapNone/>
                      <wp:docPr id="124" name="Frame12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696"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8,486</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Receivables,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Commissions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9,198</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Due from clearing broker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873</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 of 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3,730</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39,839</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1,993</w:t>
            </w:r>
          </w:p>
        </w:tc>
      </w:tr>
      <w:tr>
        <w:trPr/>
        <w:tc>
          <w:tcPr>
            <w:tcW w:w="76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66,677</w:t>
            </w:r>
          </w:p>
        </w:tc>
      </w:tr>
      <w:tr>
        <w:trPr/>
        <w:tc>
          <w:tcPr>
            <w:tcW w:w="76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7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7696"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7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10,208</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Commissions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11,468</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3,820</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Notes payable, net of unamortized debt issuance costs of $590 and $739 as of December 31, 2025 and December 31, 2024,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19,561</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Promissory notes-affiliates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5,442</w:t>
            </w:r>
          </w:p>
        </w:tc>
      </w:tr>
      <w:tr>
        <w:trPr/>
        <w:tc>
          <w:tcPr>
            <w:tcW w:w="76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50,499</w:t>
            </w:r>
          </w:p>
        </w:tc>
      </w:tr>
      <w:tr>
        <w:trPr/>
        <w:tc>
          <w:tcPr>
            <w:tcW w:w="76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Mezzanine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left"/>
              <w:rPr/>
            </w:pPr>
            <w:r>
              <w:rPr/>
              <w:t>​</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Redeemable Series A Convertible Preferred Stock, par value $0.0001, 2,000,000 shares authorized, 1,626,000 and 1,555,000 shares outstanding at December 31, 2025 and December 31, 2024,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14,947</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Stockholders’ Equity and Members’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B Convertible Preferred Stock, par value $0.0001, 500,000 shares authorized, 150,000 shares outstanding at December 31, 2025 and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55,000,000 authorized, 16,716,000 and 16,602,460 issued and outstanding at December 31, 2025 and December 31, 2024,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22,984</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(23,253)</w:t>
            </w:r>
          </w:p>
        </w:tc>
      </w:tr>
      <w:tr>
        <w:trPr/>
        <w:tc>
          <w:tcPr>
            <w:tcW w:w="7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Total Stockholders’ Equity and Mezzanine Equity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16,178</w:t>
            </w:r>
          </w:p>
        </w:tc>
      </w:tr>
      <w:tr>
        <w:trPr/>
        <w:tc>
          <w:tcPr>
            <w:tcW w:w="76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769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MEZZANINE EQUITY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66,677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1" w:name="_ec80aa42_c14d_450c_a696_2ad8a70ea4f7"/>
      <w:bookmarkEnd w:id="171"/>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172" w:name="CONSOLIDATEDSTATEMENTSOFOPERATIONS_78334"/>
      <w:bookmarkEnd w:id="172"/>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AND 2024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173" w:name="Tc_UonUOrL4WUafQR9SS9yhCg_39_0"/>
      <w:bookmarkStart w:id="174" w:name="Tc_Z_s7QIADQUGzFhdBT-X_RA_37_0"/>
      <w:bookmarkStart w:id="175" w:name="Tc_yAqvRkx6ckyjL9nP6GaCMA_35_5"/>
      <w:bookmarkStart w:id="176" w:name="Tc_WiVpfJEk90qrzY6K0frroQ_35_2"/>
      <w:bookmarkStart w:id="177" w:name="Tc_v0EqhYFIqUOW6ycuNawUIA_35_0"/>
      <w:bookmarkStart w:id="178" w:name="Tc_D7oC0lCOF0SJxSZy__Pr8A_33_5"/>
      <w:bookmarkStart w:id="179" w:name="Tc_nukPkioh30Kja48Cke72rg_33_2"/>
      <w:bookmarkStart w:id="180" w:name="Tc_8cNXZBF9CkC2qThfj3jyFA_33_0"/>
      <w:bookmarkStart w:id="181" w:name="Tc_6ljsWW7ADkKAhEgFd81otA_31_5"/>
      <w:bookmarkStart w:id="182" w:name="Tc_NbUS_tVMyUSD4wAxr9OtOA_31_2"/>
      <w:bookmarkStart w:id="183" w:name="Tc_f0TKIXHmRkCUd859zLBxOQ_31_0"/>
      <w:bookmarkStart w:id="184" w:name="Tc_b8ZA6InYbU2dtpqg1psmAg_29_3"/>
      <w:bookmarkStart w:id="185" w:name="Tc_4D2AMESpsEWAyLL2_3JEiQ_29_0"/>
      <w:bookmarkStart w:id="186" w:name="Tc_4G_xvI0CTESrOnf6S-ui1w_27_5"/>
      <w:bookmarkStart w:id="187" w:name="Tc_f0itBaqkgUWTD-1AzWDUBg_27_2"/>
      <w:bookmarkStart w:id="188" w:name="Tc_FC9MxNjSFkG9Du6L4GFkhg_27_0"/>
      <w:bookmarkStart w:id="189" w:name="Tc_2sp6gsI7wk-WQDAgQJoVWg_25_0"/>
      <w:bookmarkStart w:id="190" w:name="Tc_HON6tRIfrEaai_vTmUGaPw_23_0"/>
      <w:bookmarkStart w:id="191" w:name="Tc_LYlkK_wFlk27rI6HnFaN0g_21_0"/>
      <w:bookmarkStart w:id="192" w:name="Tc_ZYaRwe-QR0OrcMZ3pnX0ug_19_0"/>
      <w:bookmarkStart w:id="193" w:name="Tc_NJ0dxLnT2kOpA1eErI338Q_18_0"/>
      <w:bookmarkStart w:id="194" w:name="Tc_wXW1eufX-UCweNeraKKElw_17_0"/>
      <w:bookmarkStart w:id="195" w:name="Tc_jOzVcKewPEiI7bs2cbUV3Q_16_0"/>
      <w:bookmarkStart w:id="196" w:name="Tc_J9YkP0ASE0qwWHC8pZ4WNQ_15_0"/>
      <w:bookmarkStart w:id="197" w:name="Tc_pNE5cVXt_0WPzbPz5IJ_ng_14_0"/>
      <w:bookmarkStart w:id="198" w:name="Tc_ZOx--PNcDkW2NvTIyBJAbQ_13_0"/>
      <w:bookmarkStart w:id="199" w:name="Tc_jvdY7h_X5UyOQzQBsbo_VQ_12_0"/>
      <w:bookmarkStart w:id="200" w:name="Tc_TdA5I_uRqUOQ7ewm6bzWjQ_11_0"/>
      <w:bookmarkStart w:id="201" w:name="Tc_kd0kP7jINEGvOWIucuNCzA_9_0"/>
      <w:bookmarkStart w:id="202" w:name="Tc_B5fqvxTymkuMteZbyz9-WQ_7_0"/>
      <w:bookmarkStart w:id="203" w:name="Tc_THBCNu9H-0m-saD6aqDu2Q_6_0"/>
      <w:bookmarkStart w:id="204" w:name="Tc_QqlI8vpZdUisa-dRuDDO1Q_5_0"/>
      <w:bookmarkStart w:id="205" w:name="Tc_-m4Bq5lGvU2EXAfnD1Zi3Q_4_5"/>
      <w:bookmarkStart w:id="206" w:name="Tc_w8rmDt4OMUqcMlYQMRtTMQ_4_2"/>
      <w:bookmarkStart w:id="207" w:name="Tc_Zj92mWDk50ul8lqG-7LO_w_4_0"/>
      <w:bookmarkStart w:id="208" w:name="Tc_liMBE8PvxU-APhqNNfSyAg_3_0"/>
      <w:bookmarkStart w:id="209" w:name="Tc_5OG-3uGnCUecKgA96j9d_A_2_0"/>
      <w:bookmarkStart w:id="210" w:name="Tc_6-aFnIuHy0G-uvrCigPWfQ_1_5"/>
      <w:bookmarkStart w:id="211" w:name="Tc_1JcE6Mt9F0et5cpatufydQ_1_2"/>
      <w:bookmarkStart w:id="212" w:name="_3561a3a7_32a2_4648_9fb2_032b7056b872"/>
      <w:bookmarkStart w:id="213" w:name="Tc_UonUOrL4WUafQR9SS9yhCg_39_0"/>
      <w:bookmarkStart w:id="214" w:name="Tc_Z_s7QIADQUGzFhdBT-X_RA_37_0"/>
      <w:bookmarkStart w:id="215" w:name="Tc_yAqvRkx6ckyjL9nP6GaCMA_35_5"/>
      <w:bookmarkStart w:id="216" w:name="Tc_WiVpfJEk90qrzY6K0frroQ_35_2"/>
      <w:bookmarkStart w:id="217" w:name="Tc_v0EqhYFIqUOW6ycuNawUIA_35_0"/>
      <w:bookmarkStart w:id="218" w:name="Tc_D7oC0lCOF0SJxSZy__Pr8A_33_5"/>
      <w:bookmarkStart w:id="219" w:name="Tc_nukPkioh30Kja48Cke72rg_33_2"/>
      <w:bookmarkStart w:id="220" w:name="Tc_8cNXZBF9CkC2qThfj3jyFA_33_0"/>
      <w:bookmarkStart w:id="221" w:name="Tc_6ljsWW7ADkKAhEgFd81otA_31_5"/>
      <w:bookmarkStart w:id="222" w:name="Tc_NbUS_tVMyUSD4wAxr9OtOA_31_2"/>
      <w:bookmarkStart w:id="223" w:name="Tc_f0TKIXHmRkCUd859zLBxOQ_31_0"/>
      <w:bookmarkStart w:id="224" w:name="Tc_b8ZA6InYbU2dtpqg1psmAg_29_3"/>
      <w:bookmarkStart w:id="225" w:name="Tc_4D2AMESpsEWAyLL2_3JEiQ_29_0"/>
      <w:bookmarkStart w:id="226" w:name="Tc_4G_xvI0CTESrOnf6S-ui1w_27_5"/>
      <w:bookmarkStart w:id="227" w:name="Tc_f0itBaqkgUWTD-1AzWDUBg_27_2"/>
      <w:bookmarkStart w:id="228" w:name="Tc_FC9MxNjSFkG9Du6L4GFkhg_27_0"/>
      <w:bookmarkStart w:id="229" w:name="Tc_2sp6gsI7wk-WQDAgQJoVWg_25_0"/>
      <w:bookmarkStart w:id="230" w:name="Tc_HON6tRIfrEaai_vTmUGaPw_23_0"/>
      <w:bookmarkStart w:id="231" w:name="Tc_LYlkK_wFlk27rI6HnFaN0g_21_0"/>
      <w:bookmarkStart w:id="232" w:name="Tc_ZYaRwe-QR0OrcMZ3pnX0ug_19_0"/>
      <w:bookmarkStart w:id="233" w:name="Tc_NJ0dxLnT2kOpA1eErI338Q_18_0"/>
      <w:bookmarkStart w:id="234" w:name="Tc_wXW1eufX-UCweNeraKKElw_17_0"/>
      <w:bookmarkStart w:id="235" w:name="Tc_jOzVcKewPEiI7bs2cbUV3Q_16_0"/>
      <w:bookmarkStart w:id="236" w:name="Tc_J9YkP0ASE0qwWHC8pZ4WNQ_15_0"/>
      <w:bookmarkStart w:id="237" w:name="Tc_pNE5cVXt_0WPzbPz5IJ_ng_14_0"/>
      <w:bookmarkStart w:id="238" w:name="Tc_ZOx--PNcDkW2NvTIyBJAbQ_13_0"/>
      <w:bookmarkStart w:id="239" w:name="Tc_jvdY7h_X5UyOQzQBsbo_VQ_12_0"/>
      <w:bookmarkStart w:id="240" w:name="Tc_TdA5I_uRqUOQ7ewm6bzWjQ_11_0"/>
      <w:bookmarkStart w:id="241" w:name="Tc_kd0kP7jINEGvOWIucuNCzA_9_0"/>
      <w:bookmarkStart w:id="242" w:name="Tc_B5fqvxTymkuMteZbyz9-WQ_7_0"/>
      <w:bookmarkStart w:id="243" w:name="Tc_THBCNu9H-0m-saD6aqDu2Q_6_0"/>
      <w:bookmarkStart w:id="244" w:name="Tc_QqlI8vpZdUisa-dRuDDO1Q_5_0"/>
      <w:bookmarkStart w:id="245" w:name="Tc_-m4Bq5lGvU2EXAfnD1Zi3Q_4_5"/>
      <w:bookmarkStart w:id="246" w:name="Tc_w8rmDt4OMUqcMlYQMRtTMQ_4_2"/>
      <w:bookmarkStart w:id="247" w:name="Tc_Zj92mWDk50ul8lqG-7LO_w_4_0"/>
      <w:bookmarkStart w:id="248" w:name="Tc_liMBE8PvxU-APhqNNfSyAg_3_0"/>
      <w:bookmarkStart w:id="249" w:name="Tc_5OG-3uGnCUecKgA96j9d_A_2_0"/>
      <w:bookmarkStart w:id="250" w:name="Tc_6-aFnIuHy0G-uvrCigPWfQ_1_5"/>
      <w:bookmarkStart w:id="251" w:name="Tc_1JcE6Mt9F0et5cpatufydQ_1_2"/>
      <w:bookmarkStart w:id="252" w:name="_3561a3a7_32a2_4648_9fb2_032b7056b87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tbl>
      <w:tblPr>
        <w:tblW w:w="9577" w:type="dxa"/>
        <w:jc w:val="left"/>
        <w:tblInd w:w="0" w:type="dxa"/>
        <w:tblLayout w:type="fixed"/>
        <w:tblCellMar>
          <w:top w:w="0" w:type="dxa"/>
          <w:left w:w="0" w:type="dxa"/>
          <w:bottom w:w="0" w:type="dxa"/>
          <w:right w:w="0" w:type="dxa"/>
        </w:tblCellMar>
      </w:tblPr>
      <w:tblGrid>
        <w:gridCol w:w="6856"/>
        <w:gridCol w:w="346"/>
        <w:gridCol w:w="211"/>
        <w:gridCol w:w="781"/>
        <w:gridCol w:w="346"/>
        <w:gridCol w:w="211"/>
        <w:gridCol w:w="826"/>
      </w:tblGrid>
      <w:tr>
        <w:trPr/>
        <w:tc>
          <w:tcPr>
            <w:tcW w:w="6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95935" cy="175260"/>
                      <wp:effectExtent l="0" t="0" r="0" b="0"/>
                      <wp:wrapNone/>
                      <wp:docPr id="127" name="Frame1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24510" cy="175260"/>
                      <wp:effectExtent l="0" t="0" r="0" b="0"/>
                      <wp:wrapNone/>
                      <wp:docPr id="130" name="Frame1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from Contracts with Customers: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139,452</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24,939</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164,391</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4,512</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187,144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168,903</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Commissions and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149,277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135,280</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compensation and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15,544</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and 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6,971</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1,292</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4,026</w:t>
            </w:r>
          </w:p>
        </w:tc>
      </w:tr>
      <w:tr>
        <w:trPr/>
        <w:tc>
          <w:tcPr>
            <w:tcW w:w="6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6,768</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172,050</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(3,147)</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(4,562)</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Legacy Wentworth Management Services LLC members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Binah Capital Group, Inc.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(5,292)</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 average shares outstanding: basic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16,593</w:t>
            </w:r>
          </w:p>
        </w:tc>
      </w:tr>
      <w:tr>
        <w:trPr/>
        <w:tc>
          <w:tcPr>
            <w:tcW w:w="68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6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16,593</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3" w:name="_0db94d64_d32b_4c11_88a7_577b3a112f71"/>
      <w:bookmarkEnd w:id="253"/>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254" w:name="CONSOLIDATEDSTATEMENTSOFCHANGESINMEMBERS"/>
      <w:bookmarkEnd w:id="254"/>
      <w:r>
        <w:rPr>
          <w:rFonts w:ascii="Times New Roman;Times;serif" w:hAnsi="Times New Roman;Times;serif"/>
          <w:b/>
          <w:sz w:val="20"/>
        </w:rPr>
        <w:t>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AND 2024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55" w:name="Tc_TJbSnTg4_km6UTbE2mUVYg_18_29"/>
      <w:bookmarkStart w:id="256" w:name="Tc__c4-Yb17g0O1NOI-yjZOIA_18_26"/>
      <w:bookmarkStart w:id="257" w:name="Tc_HNaoWWNWUkutPKyf94KUaw_18_23"/>
      <w:bookmarkStart w:id="258" w:name="Tc_yvMYJ_JBW0Cok8cSflyJVg_18_20"/>
      <w:bookmarkStart w:id="259" w:name="Tc_96cosU92IEmwdaqUtsM_Fw_18_18"/>
      <w:bookmarkStart w:id="260" w:name="Tc_26pg43qF90-1M5420q63oQ_18_11"/>
      <w:bookmarkStart w:id="261" w:name="Tc_PnMR4FtG00iaLLQ9bWX5SQ_18_5"/>
      <w:bookmarkStart w:id="262" w:name="Tc_QPh3BlrEpUaQTEkvkGBMJQ_18_0"/>
      <w:bookmarkStart w:id="263" w:name="Tc_GKzv8hdMi0CSW-qEjAiBJg_17_27"/>
      <w:bookmarkStart w:id="264" w:name="Tc_HyYqrm0eBEuna1I_1JHMXw_17_21"/>
      <w:bookmarkStart w:id="265" w:name="Tc_OZ0k3LXcYUSg7sMwi_B09w_17_18"/>
      <w:bookmarkStart w:id="266" w:name="Tc_Eb2AvYs_5ES_LL5LYNIWPg_17_15"/>
      <w:bookmarkStart w:id="267" w:name="Tc_7mlfmo_DQkKsxMxgvkLsGQ_17_12"/>
      <w:bookmarkStart w:id="268" w:name="Tc_--NoX1nH2kih1aDI9vo_rQ_17_9"/>
      <w:bookmarkStart w:id="269" w:name="Tc_YLAYLCQvcU2yshuaCFpLmw_17_6"/>
      <w:bookmarkStart w:id="270" w:name="Tc_MhAT5fbhBE-8xZFV88qIJw_17_3"/>
      <w:bookmarkStart w:id="271" w:name="Tc_i3Hrau4pFUCANX1KqNs-gw_17_0"/>
      <w:bookmarkStart w:id="272" w:name="Tc_dzRj024vwU2gRa9mdvi6fQ_16_24"/>
      <w:bookmarkStart w:id="273" w:name="Tc_R21UrYvAqE2nEAINzSVtEg_16_21"/>
      <w:bookmarkStart w:id="274" w:name="Tc_BQ3o4Qw9MEG49Zjo5JDtDg_16_18"/>
      <w:bookmarkStart w:id="275" w:name="Tc_8c3pAHDgy0GcR5VsNKGtbg_16_15"/>
      <w:bookmarkStart w:id="276" w:name="Tc_AZkl9Iv7lk-bEqh34pvEPg_16_12"/>
      <w:bookmarkStart w:id="277" w:name="Tc_OOJe0lsbvEeB5yNr_4QQlg_16_9"/>
      <w:bookmarkStart w:id="278" w:name="Tc_UnbKOxYAQ02112dY66QVrg_16_6"/>
      <w:bookmarkStart w:id="279" w:name="Tc_Dd-v8CPXIkWPjd_fvCDd6Q_16_3"/>
      <w:bookmarkStart w:id="280" w:name="Tc_8XZ3rF5fs0CUTxLMszbJEQ_16_0"/>
      <w:bookmarkStart w:id="281" w:name="Tc_ONAbu7ADOk-tEQ9kYTV6AQ_15_27"/>
      <w:bookmarkStart w:id="282" w:name="Tc_CJdIE-bA0kS6B62Xcd1XQw_15_24"/>
      <w:bookmarkStart w:id="283" w:name="Tc_F-A55mETG02LH0eLQyki-Q_15_18"/>
      <w:bookmarkStart w:id="284" w:name="Tc_y-6LFLRSWE-E1_06YCRnYA_15_12"/>
      <w:bookmarkStart w:id="285" w:name="Tc_mGxlI_ZzZki3IZPhogZrEg_15_9"/>
      <w:bookmarkStart w:id="286" w:name="Tc_PtGg-8t47kiGKOvE2pRanw_15_6"/>
      <w:bookmarkStart w:id="287" w:name="Tc_7l_L_VUrb0WSJA6XHxnOIA_15_3"/>
      <w:bookmarkStart w:id="288" w:name="Tc_WCXvUHV0tUmB5flBhEjRHA_15_0"/>
      <w:bookmarkStart w:id="289" w:name="Tc_nAuWztKo4EGps2txELZ0Cw_14_27"/>
      <w:bookmarkStart w:id="290" w:name="Tc_yFLW683Ci06hPnSQa_jITA_14_21"/>
      <w:bookmarkStart w:id="291" w:name="Tc_TRW4MZpT-UCF14gDqrCX6w_14_18"/>
      <w:bookmarkStart w:id="292" w:name="Tc_279qzo97CE-xezLT_vsurA_14_15"/>
      <w:bookmarkStart w:id="293" w:name="Tc_B-rh6ThzsUe3_nu0jNvhxg_14_12"/>
      <w:bookmarkStart w:id="294" w:name="Tc_6fa39ihu606Sy8cqFFgdHg_14_9"/>
      <w:bookmarkStart w:id="295" w:name="Tc_w2XOZDAWWESrA3m3Ly2Tew_14_6"/>
      <w:bookmarkStart w:id="296" w:name="Tc_Xp0itk4YcEahBIt05y8DXg_14_3"/>
      <w:bookmarkStart w:id="297" w:name="Tc_wwbWpNurEEWVqY-T0fKYCg_14_0"/>
      <w:bookmarkStart w:id="298" w:name="Tc_a78_UZqp-kq9J9Ivk58nCg_13_27"/>
      <w:bookmarkStart w:id="299" w:name="Tc_RM-EZsizI0Of36nr4dQrLA_13_21"/>
      <w:bookmarkStart w:id="300" w:name="Tc_Z35NPXHdqUKaoQpKhR8jSA_13_18"/>
      <w:bookmarkStart w:id="301" w:name="Tc_2Q6vWGCXSE27gq_qgN0LGg_13_15"/>
      <w:bookmarkStart w:id="302" w:name="Tc_beRIqKTq5Uu6bTdD9TMMdQ_13_12"/>
      <w:bookmarkStart w:id="303" w:name="Tc_Bf_ITrtRZ022N69G1St_pg_13_9"/>
      <w:bookmarkStart w:id="304" w:name="Tc_8hmSQ4BFsE2aWK2ztOQ0Ug_13_6"/>
      <w:bookmarkStart w:id="305" w:name="Tc_nRwzoO7utEW2wu96P0dkWw_13_3"/>
      <w:bookmarkStart w:id="306" w:name="Tc_Iq7RyqK0bkOOzrE_VMr80A_13_0"/>
      <w:bookmarkStart w:id="307" w:name="Tc_KvjKj8DKWUGfJW0Xifw-XQ_12_27"/>
      <w:bookmarkStart w:id="308" w:name="Tc_c7sLupWzLkOKuidXI-WOvg_12_24"/>
      <w:bookmarkStart w:id="309" w:name="Tc_fNDhlxYHuEq637DYUAJ2UA_12_21"/>
      <w:bookmarkStart w:id="310" w:name="Tc_vZFD9VD3R0Kyp3x5efcUow_12_18"/>
      <w:bookmarkStart w:id="311" w:name="Tc_PQPj7yfd8Ui_KRtcR6MCYQ_12_15"/>
      <w:bookmarkStart w:id="312" w:name="Tc_0XYfWhF2tk-GP5haZQ5IDw_12_12"/>
      <w:bookmarkStart w:id="313" w:name="Tc_7wnhOBIQxEK6N_Fq3MmdZg_12_9"/>
      <w:bookmarkStart w:id="314" w:name="Tc_mJ32fzuk_0ukaoMzwqnlhA_12_0"/>
      <w:bookmarkStart w:id="315" w:name="Tc_uI_CxQ6KrU-JQ4tQxkIJCQ_11_29"/>
      <w:bookmarkStart w:id="316" w:name="Tc_phbQrg-VokWG21Tp33Im4g_11_27"/>
      <w:bookmarkStart w:id="317" w:name="Tc_CTsl_kXCBUqFEod2Bzqv1A_11_23"/>
      <w:bookmarkStart w:id="318" w:name="Tc_IYkHx0FKXUGDlFHN63VAIQ_11_20"/>
      <w:bookmarkStart w:id="319" w:name="Tc_U4ghBv0fm0-xibWL6D6hSA_11_18"/>
      <w:bookmarkStart w:id="320" w:name="Tc_vOe_hsmb-k2wd4uDP10tqw_11_11"/>
      <w:bookmarkStart w:id="321" w:name="Tc_Cy7R0QvmckKaeImi5UTeEg_11_5"/>
      <w:bookmarkStart w:id="322" w:name="Tc_cSeB-Lpve0q7UnJRDBxKEQ_11_0"/>
      <w:bookmarkStart w:id="323" w:name="Tc_a5fXe9ey1EK7zRcRdYABcg_10_29"/>
      <w:bookmarkStart w:id="324" w:name="Tc_N9uLDUmYuUq1zHnwOiMOIg_10_26"/>
      <w:bookmarkStart w:id="325" w:name="Tc_Zo0SqN6qyUWGHHVY-_LxwA_10_23"/>
      <w:bookmarkStart w:id="326" w:name="Tc_0_xMrrH1d0Okzryx7yMkbQ_10_20"/>
      <w:bookmarkStart w:id="327" w:name="Tc_xz014mfghESGizfRIhbNdA_10_17"/>
      <w:bookmarkStart w:id="328" w:name="Tc_DLH1XiMSC0m4eyhF0GmRtQ_10_14"/>
      <w:bookmarkStart w:id="329" w:name="Tc_XLqdZrgp5UOawBhhmO1QfQ_10_11"/>
      <w:bookmarkStart w:id="330" w:name="Tc_0Qf3QdL29EiDdCoxraEGmA_10_8"/>
      <w:bookmarkStart w:id="331" w:name="Tc_vUirfjjj6UCuCZM2fAwVUA_10_5"/>
      <w:bookmarkStart w:id="332" w:name="Tc_e8zd9mHF_USFDf3xV59vGQ_10_2"/>
      <w:bookmarkStart w:id="333" w:name="Tc_E1KXta_nQ0qCbfHMh6qWxw_9_29"/>
      <w:bookmarkStart w:id="334" w:name="Tc_t8ioKo3Zok-fqEeK9Pfw2A_9_26"/>
      <w:bookmarkStart w:id="335" w:name="Tc_9ZcnFNK0e0KpWEhwUYzTsg_9_23"/>
      <w:bookmarkStart w:id="336" w:name="Tc_Hxp4DVPREUibUhlxmwYtdg_9_20"/>
      <w:bookmarkStart w:id="337" w:name="Tc_nKRJEIW-AU62lvP9uWphaA_8_29"/>
      <w:bookmarkStart w:id="338" w:name="Tc_xCYPFyrPw0WcBYf4GEDufw_8_26"/>
      <w:bookmarkStart w:id="339" w:name="Tc_l6vUesps8Uapn40A3VVGIg_8_20"/>
      <w:bookmarkStart w:id="340" w:name="Tc_-eubHh-JjUOD9j1IVlTfWw_7_29"/>
      <w:bookmarkStart w:id="341" w:name="Tc_aHV1B6IUTUuzEgOIDxb18w_7_26"/>
      <w:bookmarkStart w:id="342" w:name="Tc_IpWbZSLli0O9ncZ6nDpcfA_6_29"/>
      <w:bookmarkStart w:id="343" w:name="Tc_iVakWatyXEWgQmR6iad5ZA_6_26"/>
      <w:bookmarkStart w:id="344" w:name="Tc_G59Ry9gCrEycYkXWiPnf4g_3_14"/>
      <w:bookmarkStart w:id="345" w:name="Tc_g-qtcIIqNkKJgDZp-QDxPw_3_8"/>
      <w:bookmarkStart w:id="346" w:name="Tc_Y95E5HcgrU6_Zedbqby5Fw_3_2"/>
      <w:bookmarkStart w:id="347" w:name="Tc_USTww5G4YEKIODXdjIEczg_2_8"/>
      <w:bookmarkStart w:id="348" w:name="Tc_NIZM4hB-Y06LNkWgZKzLzA_2_2"/>
      <w:bookmarkStart w:id="349" w:name="Tc_3DjK5ex7QEij_H10xPlrOg_1_2"/>
      <w:bookmarkStart w:id="350" w:name="_73a70957_737f_4264_81ef_6c43c3d7e745"/>
      <w:bookmarkStart w:id="351" w:name="Tc_TJbSnTg4_km6UTbE2mUVYg_18_29"/>
      <w:bookmarkStart w:id="352" w:name="Tc__c4-Yb17g0O1NOI-yjZOIA_18_26"/>
      <w:bookmarkStart w:id="353" w:name="Tc_HNaoWWNWUkutPKyf94KUaw_18_23"/>
      <w:bookmarkStart w:id="354" w:name="Tc_yvMYJ_JBW0Cok8cSflyJVg_18_20"/>
      <w:bookmarkStart w:id="355" w:name="Tc_96cosU92IEmwdaqUtsM_Fw_18_18"/>
      <w:bookmarkStart w:id="356" w:name="Tc_26pg43qF90-1M5420q63oQ_18_11"/>
      <w:bookmarkStart w:id="357" w:name="Tc_PnMR4FtG00iaLLQ9bWX5SQ_18_5"/>
      <w:bookmarkStart w:id="358" w:name="Tc_QPh3BlrEpUaQTEkvkGBMJQ_18_0"/>
      <w:bookmarkStart w:id="359" w:name="Tc_GKzv8hdMi0CSW-qEjAiBJg_17_27"/>
      <w:bookmarkStart w:id="360" w:name="Tc_HyYqrm0eBEuna1I_1JHMXw_17_21"/>
      <w:bookmarkStart w:id="361" w:name="Tc_OZ0k3LXcYUSg7sMwi_B09w_17_18"/>
      <w:bookmarkStart w:id="362" w:name="Tc_Eb2AvYs_5ES_LL5LYNIWPg_17_15"/>
      <w:bookmarkStart w:id="363" w:name="Tc_7mlfmo_DQkKsxMxgvkLsGQ_17_12"/>
      <w:bookmarkStart w:id="364" w:name="Tc_--NoX1nH2kih1aDI9vo_rQ_17_9"/>
      <w:bookmarkStart w:id="365" w:name="Tc_YLAYLCQvcU2yshuaCFpLmw_17_6"/>
      <w:bookmarkStart w:id="366" w:name="Tc_MhAT5fbhBE-8xZFV88qIJw_17_3"/>
      <w:bookmarkStart w:id="367" w:name="Tc_i3Hrau4pFUCANX1KqNs-gw_17_0"/>
      <w:bookmarkStart w:id="368" w:name="Tc_dzRj024vwU2gRa9mdvi6fQ_16_24"/>
      <w:bookmarkStart w:id="369" w:name="Tc_R21UrYvAqE2nEAINzSVtEg_16_21"/>
      <w:bookmarkStart w:id="370" w:name="Tc_BQ3o4Qw9MEG49Zjo5JDtDg_16_18"/>
      <w:bookmarkStart w:id="371" w:name="Tc_8c3pAHDgy0GcR5VsNKGtbg_16_15"/>
      <w:bookmarkStart w:id="372" w:name="Tc_AZkl9Iv7lk-bEqh34pvEPg_16_12"/>
      <w:bookmarkStart w:id="373" w:name="Tc_OOJe0lsbvEeB5yNr_4QQlg_16_9"/>
      <w:bookmarkStart w:id="374" w:name="Tc_UnbKOxYAQ02112dY66QVrg_16_6"/>
      <w:bookmarkStart w:id="375" w:name="Tc_Dd-v8CPXIkWPjd_fvCDd6Q_16_3"/>
      <w:bookmarkStart w:id="376" w:name="Tc_8XZ3rF5fs0CUTxLMszbJEQ_16_0"/>
      <w:bookmarkStart w:id="377" w:name="Tc_ONAbu7ADOk-tEQ9kYTV6AQ_15_27"/>
      <w:bookmarkStart w:id="378" w:name="Tc_CJdIE-bA0kS6B62Xcd1XQw_15_24"/>
      <w:bookmarkStart w:id="379" w:name="Tc_F-A55mETG02LH0eLQyki-Q_15_18"/>
      <w:bookmarkStart w:id="380" w:name="Tc_y-6LFLRSWE-E1_06YCRnYA_15_12"/>
      <w:bookmarkStart w:id="381" w:name="Tc_mGxlI_ZzZki3IZPhogZrEg_15_9"/>
      <w:bookmarkStart w:id="382" w:name="Tc_PtGg-8t47kiGKOvE2pRanw_15_6"/>
      <w:bookmarkStart w:id="383" w:name="Tc_7l_L_VUrb0WSJA6XHxnOIA_15_3"/>
      <w:bookmarkStart w:id="384" w:name="Tc_WCXvUHV0tUmB5flBhEjRHA_15_0"/>
      <w:bookmarkStart w:id="385" w:name="Tc_nAuWztKo4EGps2txELZ0Cw_14_27"/>
      <w:bookmarkStart w:id="386" w:name="Tc_yFLW683Ci06hPnSQa_jITA_14_21"/>
      <w:bookmarkStart w:id="387" w:name="Tc_TRW4MZpT-UCF14gDqrCX6w_14_18"/>
      <w:bookmarkStart w:id="388" w:name="Tc_279qzo97CE-xezLT_vsurA_14_15"/>
      <w:bookmarkStart w:id="389" w:name="Tc_B-rh6ThzsUe3_nu0jNvhxg_14_12"/>
      <w:bookmarkStart w:id="390" w:name="Tc_6fa39ihu606Sy8cqFFgdHg_14_9"/>
      <w:bookmarkStart w:id="391" w:name="Tc_w2XOZDAWWESrA3m3Ly2Tew_14_6"/>
      <w:bookmarkStart w:id="392" w:name="Tc_Xp0itk4YcEahBIt05y8DXg_14_3"/>
      <w:bookmarkStart w:id="393" w:name="Tc_wwbWpNurEEWVqY-T0fKYCg_14_0"/>
      <w:bookmarkStart w:id="394" w:name="Tc_a78_UZqp-kq9J9Ivk58nCg_13_27"/>
      <w:bookmarkStart w:id="395" w:name="Tc_RM-EZsizI0Of36nr4dQrLA_13_21"/>
      <w:bookmarkStart w:id="396" w:name="Tc_Z35NPXHdqUKaoQpKhR8jSA_13_18"/>
      <w:bookmarkStart w:id="397" w:name="Tc_2Q6vWGCXSE27gq_qgN0LGg_13_15"/>
      <w:bookmarkStart w:id="398" w:name="Tc_beRIqKTq5Uu6bTdD9TMMdQ_13_12"/>
      <w:bookmarkStart w:id="399" w:name="Tc_Bf_ITrtRZ022N69G1St_pg_13_9"/>
      <w:bookmarkStart w:id="400" w:name="Tc_8hmSQ4BFsE2aWK2ztOQ0Ug_13_6"/>
      <w:bookmarkStart w:id="401" w:name="Tc_nRwzoO7utEW2wu96P0dkWw_13_3"/>
      <w:bookmarkStart w:id="402" w:name="Tc_Iq7RyqK0bkOOzrE_VMr80A_13_0"/>
      <w:bookmarkStart w:id="403" w:name="Tc_KvjKj8DKWUGfJW0Xifw-XQ_12_27"/>
      <w:bookmarkStart w:id="404" w:name="Tc_c7sLupWzLkOKuidXI-WOvg_12_24"/>
      <w:bookmarkStart w:id="405" w:name="Tc_fNDhlxYHuEq637DYUAJ2UA_12_21"/>
      <w:bookmarkStart w:id="406" w:name="Tc_vZFD9VD3R0Kyp3x5efcUow_12_18"/>
      <w:bookmarkStart w:id="407" w:name="Tc_PQPj7yfd8Ui_KRtcR6MCYQ_12_15"/>
      <w:bookmarkStart w:id="408" w:name="Tc_0XYfWhF2tk-GP5haZQ5IDw_12_12"/>
      <w:bookmarkStart w:id="409" w:name="Tc_7wnhOBIQxEK6N_Fq3MmdZg_12_9"/>
      <w:bookmarkStart w:id="410" w:name="Tc_mJ32fzuk_0ukaoMzwqnlhA_12_0"/>
      <w:bookmarkStart w:id="411" w:name="Tc_uI_CxQ6KrU-JQ4tQxkIJCQ_11_29"/>
      <w:bookmarkStart w:id="412" w:name="Tc_phbQrg-VokWG21Tp33Im4g_11_27"/>
      <w:bookmarkStart w:id="413" w:name="Tc_CTsl_kXCBUqFEod2Bzqv1A_11_23"/>
      <w:bookmarkStart w:id="414" w:name="Tc_IYkHx0FKXUGDlFHN63VAIQ_11_20"/>
      <w:bookmarkStart w:id="415" w:name="Tc_U4ghBv0fm0-xibWL6D6hSA_11_18"/>
      <w:bookmarkStart w:id="416" w:name="Tc_vOe_hsmb-k2wd4uDP10tqw_11_11"/>
      <w:bookmarkStart w:id="417" w:name="Tc_Cy7R0QvmckKaeImi5UTeEg_11_5"/>
      <w:bookmarkStart w:id="418" w:name="Tc_cSeB-Lpve0q7UnJRDBxKEQ_11_0"/>
      <w:bookmarkStart w:id="419" w:name="Tc_a5fXe9ey1EK7zRcRdYABcg_10_29"/>
      <w:bookmarkStart w:id="420" w:name="Tc_N9uLDUmYuUq1zHnwOiMOIg_10_26"/>
      <w:bookmarkStart w:id="421" w:name="Tc_Zo0SqN6qyUWGHHVY-_LxwA_10_23"/>
      <w:bookmarkStart w:id="422" w:name="Tc_0_xMrrH1d0Okzryx7yMkbQ_10_20"/>
      <w:bookmarkStart w:id="423" w:name="Tc_xz014mfghESGizfRIhbNdA_10_17"/>
      <w:bookmarkStart w:id="424" w:name="Tc_DLH1XiMSC0m4eyhF0GmRtQ_10_14"/>
      <w:bookmarkStart w:id="425" w:name="Tc_XLqdZrgp5UOawBhhmO1QfQ_10_11"/>
      <w:bookmarkStart w:id="426" w:name="Tc_0Qf3QdL29EiDdCoxraEGmA_10_8"/>
      <w:bookmarkStart w:id="427" w:name="Tc_vUirfjjj6UCuCZM2fAwVUA_10_5"/>
      <w:bookmarkStart w:id="428" w:name="Tc_e8zd9mHF_USFDf3xV59vGQ_10_2"/>
      <w:bookmarkStart w:id="429" w:name="Tc_E1KXta_nQ0qCbfHMh6qWxw_9_29"/>
      <w:bookmarkStart w:id="430" w:name="Tc_t8ioKo3Zok-fqEeK9Pfw2A_9_26"/>
      <w:bookmarkStart w:id="431" w:name="Tc_9ZcnFNK0e0KpWEhwUYzTsg_9_23"/>
      <w:bookmarkStart w:id="432" w:name="Tc_Hxp4DVPREUibUhlxmwYtdg_9_20"/>
      <w:bookmarkStart w:id="433" w:name="Tc_nKRJEIW-AU62lvP9uWphaA_8_29"/>
      <w:bookmarkStart w:id="434" w:name="Tc_xCYPFyrPw0WcBYf4GEDufw_8_26"/>
      <w:bookmarkStart w:id="435" w:name="Tc_l6vUesps8Uapn40A3VVGIg_8_20"/>
      <w:bookmarkStart w:id="436" w:name="Tc_-eubHh-JjUOD9j1IVlTfWw_7_29"/>
      <w:bookmarkStart w:id="437" w:name="Tc_aHV1B6IUTUuzEgOIDxb18w_7_26"/>
      <w:bookmarkStart w:id="438" w:name="Tc_IpWbZSLli0O9ncZ6nDpcfA_6_29"/>
      <w:bookmarkStart w:id="439" w:name="Tc_iVakWatyXEWgQmR6iad5ZA_6_26"/>
      <w:bookmarkStart w:id="440" w:name="Tc_G59Ry9gCrEycYkXWiPnf4g_3_14"/>
      <w:bookmarkStart w:id="441" w:name="Tc_g-qtcIIqNkKJgDZp-QDxPw_3_8"/>
      <w:bookmarkStart w:id="442" w:name="Tc_Y95E5HcgrU6_Zedbqby5Fw_3_2"/>
      <w:bookmarkStart w:id="443" w:name="Tc_USTww5G4YEKIODXdjIEczg_2_8"/>
      <w:bookmarkStart w:id="444" w:name="Tc_NIZM4hB-Y06LNkWgZKzLzA_2_2"/>
      <w:bookmarkStart w:id="445" w:name="Tc_3DjK5ex7QEij_H10xPlrOg_1_2"/>
      <w:bookmarkStart w:id="446" w:name="_73a70957_737f_4264_81ef_6c43c3d7e745"/>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tbl>
      <w:tblPr>
        <w:tblW w:w="10365" w:type="dxa"/>
        <w:jc w:val="left"/>
        <w:tblInd w:w="0" w:type="dxa"/>
        <w:tblLayout w:type="fixed"/>
        <w:tblCellMar>
          <w:top w:w="0" w:type="dxa"/>
          <w:left w:w="0" w:type="dxa"/>
          <w:bottom w:w="0" w:type="dxa"/>
          <w:right w:w="0" w:type="dxa"/>
        </w:tblCellMar>
      </w:tblPr>
      <w:tblGrid>
        <w:gridCol w:w="796"/>
        <w:gridCol w:w="346"/>
        <w:gridCol w:w="109"/>
        <w:gridCol w:w="376"/>
        <w:gridCol w:w="109"/>
        <w:gridCol w:w="166"/>
        <w:gridCol w:w="436"/>
        <w:gridCol w:w="346"/>
        <w:gridCol w:w="146"/>
        <w:gridCol w:w="346"/>
        <w:gridCol w:w="346"/>
        <w:gridCol w:w="166"/>
        <w:gridCol w:w="376"/>
        <w:gridCol w:w="346"/>
        <w:gridCol w:w="109"/>
        <w:gridCol w:w="436"/>
        <w:gridCol w:w="346"/>
        <w:gridCol w:w="126"/>
        <w:gridCol w:w="400"/>
        <w:gridCol w:w="346"/>
        <w:gridCol w:w="173"/>
        <w:gridCol w:w="458"/>
        <w:gridCol w:w="346"/>
        <w:gridCol w:w="204"/>
        <w:gridCol w:w="592"/>
        <w:gridCol w:w="346"/>
        <w:gridCol w:w="296"/>
        <w:gridCol w:w="620"/>
        <w:gridCol w:w="346"/>
        <w:gridCol w:w="194"/>
        <w:gridCol w:w="617"/>
      </w:tblGrid>
      <w:tr>
        <w:trPr/>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05460" cy="175260"/>
                      <wp:effectExtent l="0" t="0" r="0" b="0"/>
                      <wp:wrapNone/>
                      <wp:docPr id="131" name="Frame1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38760" cy="175260"/>
                      <wp:effectExtent l="0" t="0" r="0" b="0"/>
                      <wp:wrapNone/>
                      <wp:docPr id="134" name="Frame13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05410" cy="175260"/>
                      <wp:effectExtent l="0" t="0" r="0" b="0"/>
                      <wp:wrapNone/>
                      <wp:docPr id="136" name="Frame13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76860" cy="175260"/>
                      <wp:effectExtent l="0" t="0" r="0" b="0"/>
                      <wp:wrapNone/>
                      <wp:docPr id="137" name="Frame13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92710" cy="175260"/>
                      <wp:effectExtent l="0" t="0" r="0" b="0"/>
                      <wp:wrapNone/>
                      <wp:docPr id="139" name="Frame1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05410" cy="175260"/>
                      <wp:effectExtent l="0" t="0" r="0" b="0"/>
                      <wp:wrapNone/>
                      <wp:docPr id="142" name="Frame14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38760" cy="175260"/>
                      <wp:effectExtent l="0" t="0" r="0" b="0"/>
                      <wp:wrapNone/>
                      <wp:docPr id="143" name="Frame14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76860" cy="175260"/>
                      <wp:effectExtent l="0" t="0" r="0" b="0"/>
                      <wp:wrapNone/>
                      <wp:docPr id="146" name="Frame14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0010" cy="175260"/>
                      <wp:effectExtent l="0" t="0" r="0" b="0"/>
                      <wp:wrapNone/>
                      <wp:docPr id="148" name="Frame148"/>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54000" cy="175260"/>
                      <wp:effectExtent l="0" t="0" r="0" b="0"/>
                      <wp:wrapNone/>
                      <wp:docPr id="149" name="Frame14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09855" cy="175260"/>
                      <wp:effectExtent l="0" t="0" r="0" b="0"/>
                      <wp:wrapNone/>
                      <wp:docPr id="151" name="Frame151"/>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90830" cy="175260"/>
                      <wp:effectExtent l="0" t="0" r="0" b="0"/>
                      <wp:wrapNone/>
                      <wp:docPr id="152" name="Frame152"/>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9540" cy="175260"/>
                      <wp:effectExtent l="0" t="0" r="0" b="0"/>
                      <wp:wrapNone/>
                      <wp:docPr id="154" name="Frame154"/>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75920" cy="175260"/>
                      <wp:effectExtent l="0" t="0" r="0" b="0"/>
                      <wp:wrapNone/>
                      <wp:docPr id="155" name="Frame155"/>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7960" cy="175260"/>
                      <wp:effectExtent l="0" t="0" r="0" b="0"/>
                      <wp:wrapNone/>
                      <wp:docPr id="157" name="Frame15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93700" cy="175260"/>
                      <wp:effectExtent l="0" t="0" r="0" b="0"/>
                      <wp:wrapNone/>
                      <wp:docPr id="158" name="Frame15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3190" cy="175260"/>
                      <wp:effectExtent l="0" t="0" r="0" b="0"/>
                      <wp:wrapNone/>
                      <wp:docPr id="160" name="Frame160"/>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91795" cy="175260"/>
                      <wp:effectExtent l="0" t="0" r="0" b="0"/>
                      <wp:wrapNone/>
                      <wp:docPr id="161" name="Frame161"/>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223" w:type="dxa"/>
            <w:gridSpan w:val="2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year ended December 31, 2025</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96" w:type="dxa"/>
            <w:gridSpan w:val="5"/>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 Redeemable</w:t>
            </w:r>
          </w:p>
        </w:tc>
        <w:tc>
          <w:tcPr>
            <w:tcW w:w="346" w:type="dxa"/>
            <w:tcBorders/>
            <w:vAlign w:val="center"/>
          </w:tcPr>
          <w:p>
            <w:pPr>
              <w:pStyle w:val="TableContents"/>
              <w:bidi w:val="0"/>
              <w:spacing w:before="0" w:after="0"/>
              <w:ind w:left="0" w:right="0" w:hanging="0"/>
              <w:jc w:val="left"/>
              <w:rPr/>
            </w:pPr>
            <w:r>
              <w:rPr/>
              <w:t>​</w:t>
            </w:r>
          </w:p>
        </w:tc>
        <w:tc>
          <w:tcPr>
            <w:tcW w:w="1380" w:type="dxa"/>
            <w:gridSpan w:val="5"/>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Class B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3" w:type="dxa"/>
            <w:tcBorders/>
            <w:vAlign w:val="center"/>
          </w:tcPr>
          <w:p>
            <w:pPr>
              <w:pStyle w:val="TableContents"/>
              <w:bidi w:val="0"/>
              <w:spacing w:before="0" w:after="0"/>
              <w:ind w:left="0" w:right="0" w:hanging="0"/>
              <w:jc w:val="center"/>
              <w:rPr/>
            </w:pPr>
            <w:r>
              <w:rPr/>
              <w:t>​</w:t>
            </w:r>
          </w:p>
        </w:tc>
        <w:tc>
          <w:tcPr>
            <w:tcW w:w="4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62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4"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Convertible Preferred Stock</w:t>
            </w:r>
          </w:p>
        </w:tc>
        <w:tc>
          <w:tcPr>
            <w:tcW w:w="346" w:type="dxa"/>
            <w:tcBorders/>
            <w:vAlign w:val="center"/>
          </w:tcPr>
          <w:p>
            <w:pPr>
              <w:pStyle w:val="TableContents"/>
              <w:bidi w:val="0"/>
              <w:spacing w:before="0" w:after="0"/>
              <w:ind w:left="0" w:right="0" w:hanging="0"/>
              <w:jc w:val="left"/>
              <w:rPr/>
            </w:pPr>
            <w:r>
              <w:rPr/>
              <w:t>​</w:t>
            </w:r>
          </w:p>
        </w:tc>
        <w:tc>
          <w:tcPr>
            <w:tcW w:w="13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Convertible Preferred Stock</w:t>
            </w:r>
          </w:p>
        </w:tc>
        <w:tc>
          <w:tcPr>
            <w:tcW w:w="346" w:type="dxa"/>
            <w:tcBorders/>
            <w:vAlign w:val="center"/>
          </w:tcPr>
          <w:p>
            <w:pPr>
              <w:pStyle w:val="TableContents"/>
              <w:bidi w:val="0"/>
              <w:spacing w:before="0" w:after="0"/>
              <w:ind w:left="0" w:right="0" w:hanging="0"/>
              <w:jc w:val="left"/>
              <w:rPr/>
            </w:pPr>
            <w:r>
              <w:rPr/>
              <w:t>​</w:t>
            </w:r>
          </w:p>
        </w:tc>
        <w:tc>
          <w:tcPr>
            <w:tcW w:w="14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left"/>
              <w:rPr/>
            </w:pPr>
            <w:r>
              <w:rPr/>
              <w:t>​</w:t>
            </w:r>
          </w:p>
        </w:tc>
        <w:tc>
          <w:tcPr>
            <w:tcW w:w="17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62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4"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3" w:type="dxa"/>
            <w:tcBorders/>
            <w:vAlign w:val="center"/>
          </w:tcPr>
          <w:p>
            <w:pPr>
              <w:pStyle w:val="TableContents"/>
              <w:bidi w:val="0"/>
              <w:spacing w:before="0" w:after="0"/>
              <w:ind w:left="0" w:right="0" w:hanging="0"/>
              <w:jc w:val="center"/>
              <w:rPr/>
            </w:pPr>
            <w:r>
              <w:rPr/>
              <w:t>​</w:t>
            </w:r>
          </w:p>
        </w:tc>
        <w:tc>
          <w:tcPr>
            <w:tcW w:w="4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62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4"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3" w:type="dxa"/>
            <w:tcBorders/>
            <w:vAlign w:val="center"/>
          </w:tcPr>
          <w:p>
            <w:pPr>
              <w:pStyle w:val="TableContents"/>
              <w:bidi w:val="0"/>
              <w:spacing w:before="0" w:after="0"/>
              <w:ind w:left="0" w:right="0" w:hanging="0"/>
              <w:jc w:val="center"/>
              <w:rPr/>
            </w:pPr>
            <w:r>
              <w:rPr/>
              <w:t>​</w:t>
            </w:r>
          </w:p>
        </w:tc>
        <w:tc>
          <w:tcPr>
            <w:tcW w:w="4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62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4"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3" w:type="dxa"/>
            <w:tcBorders/>
            <w:vAlign w:val="center"/>
          </w:tcPr>
          <w:p>
            <w:pPr>
              <w:pStyle w:val="TableContents"/>
              <w:bidi w:val="0"/>
              <w:spacing w:before="0" w:after="0"/>
              <w:ind w:left="0" w:right="0" w:hanging="0"/>
              <w:jc w:val="center"/>
              <w:rPr/>
            </w:pPr>
            <w:r>
              <w:rPr/>
              <w:t>​</w:t>
            </w:r>
          </w:p>
        </w:tc>
        <w:tc>
          <w:tcPr>
            <w:tcW w:w="4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3" w:type="dxa"/>
            <w:tcBorders/>
            <w:vAlign w:val="center"/>
          </w:tcPr>
          <w:p>
            <w:pPr>
              <w:pStyle w:val="TableContents"/>
              <w:bidi w:val="0"/>
              <w:spacing w:before="0" w:after="0"/>
              <w:ind w:left="0" w:right="0" w:hanging="0"/>
              <w:jc w:val="center"/>
              <w:rPr/>
            </w:pPr>
            <w:r>
              <w:rPr/>
              <w:t>​</w:t>
            </w:r>
          </w:p>
        </w:tc>
        <w:tc>
          <w:tcPr>
            <w:tcW w:w="45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and</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8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  </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Mezzanine</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109" w:type="dxa"/>
            <w:tcBorders/>
            <w:vAlign w:val="center"/>
          </w:tcPr>
          <w:p>
            <w:pPr>
              <w:pStyle w:val="TableContents"/>
              <w:bidi w:val="0"/>
              <w:spacing w:before="0" w:after="0"/>
              <w:ind w:left="0" w:right="0" w:hanging="0"/>
              <w:jc w:val="left"/>
              <w:rPr/>
            </w:pPr>
            <w:r>
              <w:rPr/>
              <w:t>​</w:t>
            </w:r>
          </w:p>
        </w:tc>
        <w:tc>
          <w:tcPr>
            <w:tcW w:w="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  ​ ​ ​</w:t>
            </w:r>
          </w:p>
        </w:tc>
        <w:tc>
          <w:tcPr>
            <w:tcW w:w="4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46" w:type="dxa"/>
            <w:tcBorders/>
            <w:vAlign w:val="center"/>
          </w:tcPr>
          <w:p>
            <w:pPr>
              <w:pStyle w:val="TableContents"/>
              <w:bidi w:val="0"/>
              <w:spacing w:before="0" w:after="0"/>
              <w:ind w:left="0" w:right="0" w:hanging="0"/>
              <w:jc w:val="center"/>
              <w:rPr/>
            </w:pPr>
            <w:r>
              <w:rPr/>
              <w:t>  ​ ​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  ​ ​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46" w:type="dxa"/>
            <w:tcBorders/>
            <w:vAlign w:val="center"/>
          </w:tcPr>
          <w:p>
            <w:pPr>
              <w:pStyle w:val="TableContents"/>
              <w:bidi w:val="0"/>
              <w:spacing w:before="0" w:after="0"/>
              <w:ind w:left="0" w:right="0" w:hanging="0"/>
              <w:jc w:val="center"/>
              <w:rPr/>
            </w:pPr>
            <w:r>
              <w:rPr/>
              <w:t>  ​ ​ ​</w:t>
            </w:r>
          </w:p>
        </w:tc>
        <w:tc>
          <w:tcPr>
            <w:tcW w:w="5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0"/>
              <w:ind w:left="0" w:right="0" w:hanging="0"/>
              <w:jc w:val="center"/>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46" w:type="dxa"/>
            <w:tcBorders/>
            <w:vAlign w:val="center"/>
          </w:tcPr>
          <w:p>
            <w:pPr>
              <w:pStyle w:val="TableContents"/>
              <w:bidi w:val="0"/>
              <w:spacing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7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1,555</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14,947</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16,603</w:t>
            </w:r>
          </w:p>
        </w:tc>
        <w:tc>
          <w:tcPr>
            <w:tcW w:w="346"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3"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5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22,984</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9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(23,253)</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16,178</w:t>
            </w:r>
          </w:p>
        </w:tc>
      </w:tr>
      <w:tr>
        <w:trPr/>
        <w:tc>
          <w:tcPr>
            <w:tcW w:w="79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Class A redeemable convertible preferred stock</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71</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721</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721</w:t>
            </w:r>
          </w:p>
        </w:tc>
      </w:tr>
      <w:tr>
        <w:trPr/>
        <w:tc>
          <w:tcPr>
            <w:tcW w:w="7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 Class A redeemable convertible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(1,445)</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(1,445)</w:t>
            </w:r>
          </w:p>
        </w:tc>
      </w:tr>
      <w:tr>
        <w:trPr/>
        <w:tc>
          <w:tcPr>
            <w:tcW w:w="79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 Class B convertible preferred stock</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w:t>
            </w:r>
          </w:p>
        </w:tc>
      </w:tr>
      <w:tr>
        <w:trPr/>
        <w:tc>
          <w:tcPr>
            <w:tcW w:w="7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 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113</w:t>
            </w:r>
          </w:p>
        </w:tc>
        <w:tc>
          <w:tcPr>
            <w:tcW w:w="346" w:type="dxa"/>
            <w:tcBorders/>
            <w:shd w:fill="CCEEFF" w:val="clear"/>
            <w:vAlign w:val="center"/>
          </w:tcPr>
          <w:p>
            <w:pPr>
              <w:pStyle w:val="TableContents"/>
              <w:bidi w:val="0"/>
              <w:spacing w:before="0" w:after="0"/>
              <w:ind w:left="0" w:right="0" w:hanging="0"/>
              <w:jc w:val="righ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73"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725</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725</w:t>
            </w:r>
          </w:p>
        </w:tc>
      </w:tr>
      <w:tr>
        <w:trPr/>
        <w:tc>
          <w:tcPr>
            <w:tcW w:w="79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Change in value of cash flow hedge</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3"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(114)</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(114)</w:t>
            </w:r>
          </w:p>
        </w:tc>
      </w:tr>
      <w:tr>
        <w:trPr/>
        <w:tc>
          <w:tcPr>
            <w:tcW w:w="7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2,308</w:t>
            </w:r>
          </w:p>
        </w:tc>
        <w:tc>
          <w:tcPr>
            <w:tcW w:w="34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2,308</w:t>
            </w:r>
          </w:p>
        </w:tc>
      </w:tr>
      <w:tr>
        <w:trPr/>
        <w:tc>
          <w:tcPr>
            <w:tcW w:w="79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December 31, 2025</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1,626</w:t>
            </w:r>
          </w:p>
        </w:tc>
        <w:tc>
          <w:tcPr>
            <w:tcW w:w="109"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15,668</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1,500</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16,716</w:t>
            </w:r>
          </w:p>
        </w:tc>
        <w:tc>
          <w:tcPr>
            <w:tcW w:w="346" w:type="dxa"/>
            <w:tcBorders/>
            <w:vAlign w:val="center"/>
          </w:tcPr>
          <w:p>
            <w:pPr>
              <w:pStyle w:val="TableContents"/>
              <w:bidi w:val="0"/>
              <w:spacing w:before="0" w:after="0"/>
              <w:ind w:left="0" w:right="0" w:hanging="0"/>
              <w:jc w:val="left"/>
              <w:rPr/>
            </w:pPr>
            <w:r>
              <w:rPr/>
              <w:t>​</w:t>
            </w:r>
          </w:p>
        </w:tc>
        <w:tc>
          <w:tcPr>
            <w:tcW w:w="1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23,709</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(22,496)</w:t>
            </w:r>
          </w:p>
        </w:tc>
        <w:tc>
          <w:tcPr>
            <w:tcW w:w="34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(114)</w:t>
            </w:r>
          </w:p>
        </w:tc>
        <w:tc>
          <w:tcPr>
            <w:tcW w:w="346" w:type="dxa"/>
            <w:tcBorders/>
            <w:vAlign w:val="center"/>
          </w:tcPr>
          <w:p>
            <w:pPr>
              <w:pStyle w:val="TableContents"/>
              <w:bidi w:val="0"/>
              <w:spacing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7"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18,267</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47" w:name="Tc_1BtLDeUxY0e93yToYdQM7A_22_28"/>
      <w:bookmarkStart w:id="448" w:name="Tc_sArA77Si-EynDuXk4aN2PA_22_25"/>
      <w:bookmarkStart w:id="449" w:name="Tc_r0mqdmwLJE6C77GqZ5nPMw_22_22"/>
      <w:bookmarkStart w:id="450" w:name="Tc_g2or-vRzS0yjrhOtaD4nkw_22_20"/>
      <w:bookmarkStart w:id="451" w:name="Tc_Au6Mj3u2tkC1G-I7leRFyg_22_19"/>
      <w:bookmarkStart w:id="452" w:name="Tc_hadwr2l8PEujDH-_f71EUQ_22_13"/>
      <w:bookmarkStart w:id="453" w:name="Tc_OvrYAM6R-0apNy4PNkR82w_22_7"/>
      <w:bookmarkStart w:id="454" w:name="Tc_kVMHtVkWjUellsXms_2sTg_22_3"/>
      <w:bookmarkStart w:id="455" w:name="Tc_kVYVmG81ckO89etN_QE02w_22_2"/>
      <w:bookmarkStart w:id="456" w:name="Tc_bYifOH3LFkaG8LpmYYhIJQ_22_0"/>
      <w:bookmarkStart w:id="457" w:name="Tc_-2lR6bSD6k-RmXgA8HRjBg_21_23"/>
      <w:bookmarkStart w:id="458" w:name="Tc_o8D83lqSZ0Gz7CIx6ko18A_21_20"/>
      <w:bookmarkStart w:id="459" w:name="Tc_eDaet3Laskq0I4caDIvwsQ_21_17"/>
      <w:bookmarkStart w:id="460" w:name="Tc_81jt2-20SkG8yPbh2anqog_21_14"/>
      <w:bookmarkStart w:id="461" w:name="Tc_VSHo9s5Wvku1WQCzRZ3CKw_21_11"/>
      <w:bookmarkStart w:id="462" w:name="Tc_4756PvVU9ECEQ_tZlVc3UA_21_8"/>
      <w:bookmarkStart w:id="463" w:name="Tc_6viicw9G8kWe1m9ODitCow_21_5"/>
      <w:bookmarkStart w:id="464" w:name="Tc_c3mWLpb7akqvJLx1fXWckQ_21_3"/>
      <w:bookmarkStart w:id="465" w:name="Tc_JsVZ_8mYokuEaca7bECcQg_21_0"/>
      <w:bookmarkStart w:id="466" w:name="Tc_WnwkjM7x4kmzErRu1d8rAg_20_26"/>
      <w:bookmarkStart w:id="467" w:name="Tc_5p_eRFv-sk-JPo9Q0RQyDA_20_20"/>
      <w:bookmarkStart w:id="468" w:name="Tc_UatuwPish0q4UPWU4-t7zQ_20_14"/>
      <w:bookmarkStart w:id="469" w:name="Tc_bjNrHhvR1kaMI9_5vN-kIQ_20_11"/>
      <w:bookmarkStart w:id="470" w:name="Tc_sqcmZBrsnkKa3LDbeKw7pQ_20_8"/>
      <w:bookmarkStart w:id="471" w:name="Tc_ULAREc960Ue_2TBOLHv3qA_20_5"/>
      <w:bookmarkStart w:id="472" w:name="Tc_ZR9qsqC-SUCdZB5h31zOxg_20_3"/>
      <w:bookmarkStart w:id="473" w:name="Tc_33LazKKNqUS0M9LqZIGJpg_20_0"/>
      <w:bookmarkStart w:id="474" w:name="Tc_EcLfs2AH50uI3pVDI11E-A_19_26"/>
      <w:bookmarkStart w:id="475" w:name="Tc_A-Yxmgy3XkW1WIvk6p4nyA_19_20"/>
      <w:bookmarkStart w:id="476" w:name="Tc_Ideg_EmI7Ue4qZ4ge9EwUg_19_17"/>
      <w:bookmarkStart w:id="477" w:name="Tc_1mwYimOF6U2bRwbOmTdzIQ_19_14"/>
      <w:bookmarkStart w:id="478" w:name="Tc_dPuwOTthNE2HO7oYpPu5Vw_19_11"/>
      <w:bookmarkStart w:id="479" w:name="Tc_BDJ6MnHoYU-OwKiJ4Jo5cg_19_8"/>
      <w:bookmarkStart w:id="480" w:name="Tc_Iw15u4zW8kefNK_7b-tUww_19_5"/>
      <w:bookmarkStart w:id="481" w:name="Tc_pO7-oQ-C5kelTll8-Knt8w_19_3"/>
      <w:bookmarkStart w:id="482" w:name="Tc_IqDMQzl0dUG9GRhLYstU2Q_19_0"/>
      <w:bookmarkStart w:id="483" w:name="Tc_t0BLBSikz0Wj-NW3APm1PQ_18_26"/>
      <w:bookmarkStart w:id="484" w:name="Tc_80TMe54gCk2ViayD97VbDA_18_20"/>
      <w:bookmarkStart w:id="485" w:name="Tc_gmVV6d6puEeTnnlgsL9KyQ_18_17"/>
      <w:bookmarkStart w:id="486" w:name="Tc_6RzseW_MQE-dwTLXH-qWIQ_18_14"/>
      <w:bookmarkStart w:id="487" w:name="Tc_qsfMT566MUil4sT69bso9A_18_11"/>
      <w:bookmarkStart w:id="488" w:name="Tc_5DyPoPPyz0SbM9QCYFKjZQ_18_8"/>
      <w:bookmarkStart w:id="489" w:name="Tc_IfRghWfep0SYZKtEPKTlEA_18_5"/>
      <w:bookmarkStart w:id="490" w:name="Tc_H8tWoYe2vEWV-d3TjE47-g_18_3"/>
      <w:bookmarkStart w:id="491" w:name="Tc_536ISLd6lE-KbKhvBX0_6w_18_0"/>
      <w:bookmarkStart w:id="492" w:name="Tc_7tulGpDDekCCML8XGAwr_Q_17_26"/>
      <w:bookmarkStart w:id="493" w:name="Tc_nlZtEsWHf0C4Vt1s6zpjbA_17_23"/>
      <w:bookmarkStart w:id="494" w:name="Tc_9VdFBfvBakKUTY7Ogs370A_17_20"/>
      <w:bookmarkStart w:id="495" w:name="Tc_ZDWmcNkHsUiAqQS-2ItwIA_17_17"/>
      <w:bookmarkStart w:id="496" w:name="Tc_DpFM6q6NUUSYQDmo_e6FJQ_17_8"/>
      <w:bookmarkStart w:id="497" w:name="Tc_WiEEh4LfwEq29Y9CE9dzlw_17_5"/>
      <w:bookmarkStart w:id="498" w:name="Tc_3hc0OuU7SU-ZJS4JnQ8kRQ_17_3"/>
      <w:bookmarkStart w:id="499" w:name="Tc_3cDVNTsQRkW-0cBqYmDnrA_17_0"/>
      <w:bookmarkStart w:id="500" w:name="Tc_-bxyPEjDyEW6W68pppDPhg_16_26"/>
      <w:bookmarkStart w:id="501" w:name="Tc_0rUoqSGd60eA2a9wFqHeUg_16_23"/>
      <w:bookmarkStart w:id="502" w:name="Tc_SriVbyCxzkCHGLJxE0aqPw_16_20"/>
      <w:bookmarkStart w:id="503" w:name="Tc_psrOmvXQqUqxDbY0sP22PA_16_17"/>
      <w:bookmarkStart w:id="504" w:name="Tc_rjWkOiUZUEymOcjDflsoRQ_16_14"/>
      <w:bookmarkStart w:id="505" w:name="Tc_cRgtyBL5oEGs2mmipTzw4g_16_11"/>
      <w:bookmarkStart w:id="506" w:name="Tc_p0BbHi5zbUe2nk3oAxoH3g_16_3"/>
      <w:bookmarkStart w:id="507" w:name="Tc_852LTcuAREOxf6KzwBKDEA_16_0"/>
      <w:bookmarkStart w:id="508" w:name="Tc_0uLEoeXhEECc5voYx4VgIg_15_26"/>
      <w:bookmarkStart w:id="509" w:name="Tc_cZwJZWlPjUuyv5qMb4tZIg_15_23"/>
      <w:bookmarkStart w:id="510" w:name="Tc_9AJMBgGsH0qvvQ4L3OeLrg_15_20"/>
      <w:bookmarkStart w:id="511" w:name="Tc_7UovGo0AjUWHDJOFeAVNTA_15_17"/>
      <w:bookmarkStart w:id="512" w:name="Tc_3vYJcDpJz0mb4tsuHLWVFQ_15_14"/>
      <w:bookmarkStart w:id="513" w:name="Tc_-TZ60OaYK0-0PBB_P67lXA_15_11"/>
      <w:bookmarkStart w:id="514" w:name="Tc_Jkp85ZWoiEKxpP26w0tWUw_15_3"/>
      <w:bookmarkStart w:id="515" w:name="Tc_mdjGx2KA2EOeDlfM6nerDA_15_0"/>
      <w:bookmarkStart w:id="516" w:name="Tc_p3niHzM6fEylI_82JGezVA_14_20"/>
      <w:bookmarkStart w:id="517" w:name="Tc_dtWfVDJehUic8W93Cufmpg_14_14"/>
      <w:bookmarkStart w:id="518" w:name="Tc_1CftNXVkdE-cmjOgUti1pg_14_11"/>
      <w:bookmarkStart w:id="519" w:name="Tc_9VJp1Ee850KPcdaXWQ_hlg_14_8"/>
      <w:bookmarkStart w:id="520" w:name="Tc_KQO_MrkFu06yCXrf0mx--A_14_5"/>
      <w:bookmarkStart w:id="521" w:name="Tc_VtZLBnGZ9UmLao-xwLGAdA_14_0"/>
      <w:bookmarkStart w:id="522" w:name="Tc_zL81c4HF9kOvCGp2OzzJkg_13_26"/>
      <w:bookmarkStart w:id="523" w:name="Tc_8PkO7Wp5iEuUUkeZZRnReA_13_23"/>
      <w:bookmarkStart w:id="524" w:name="Tc_vh8HPtppKUiU0hk2Sg8k0Q_13_20"/>
      <w:bookmarkStart w:id="525" w:name="Tc_8LKaqdpWb0aZs6Y5sjAbmg_13_17"/>
      <w:bookmarkStart w:id="526" w:name="Tc_x7Dv6fYQ8EGpmuZ2zhp2xg_13_14"/>
      <w:bookmarkStart w:id="527" w:name="Tc_g9QYdwI6dk6Wzj3PxKEBxQ_13_11"/>
      <w:bookmarkStart w:id="528" w:name="Tc_1MfK9k8tzkiJSl9R4ROgEw_13_8"/>
      <w:bookmarkStart w:id="529" w:name="Tc_zIawHASQo0O6AAdaHQxJGw_13_5"/>
      <w:bookmarkStart w:id="530" w:name="Tc_ixa5AARwmUyCdE6XIMcbWw_13_0"/>
      <w:bookmarkStart w:id="531" w:name="Tc_bFanPRnEX06m7cLzlHGjfA_12_26"/>
      <w:bookmarkStart w:id="532" w:name="Tc_zE4_SFPGbUGExAFz1Pf1Ww_12_23"/>
      <w:bookmarkStart w:id="533" w:name="Tc_nQMneSse_0ylAqDh38o2cg_12_20"/>
      <w:bookmarkStart w:id="534" w:name="Tc_iIyL7KnAeEekufkFi5IDKA_12_17"/>
      <w:bookmarkStart w:id="535" w:name="Tc_gQCu3obw0UKdz107sj8c9g_12_14"/>
      <w:bookmarkStart w:id="536" w:name="Tc_yhVHXbsO5kGfFf-45b7f4w_12_11"/>
      <w:bookmarkStart w:id="537" w:name="Tc_siE82RLH9Em4P8MrT1JW3A_12_8"/>
      <w:bookmarkStart w:id="538" w:name="Tc_lbkF9N01qU-gqrfpH6BHbQ_12_5"/>
      <w:bookmarkStart w:id="539" w:name="Tc_mFE8XPhackGKv826P04hng_12_0"/>
      <w:bookmarkStart w:id="540" w:name="Tc_y3ca2UtT80an9qV_jyZXow_11_26"/>
      <w:bookmarkStart w:id="541" w:name="Tc_xmLHuwZRYk6sbHt9Ct-cdg_11_25"/>
      <w:bookmarkStart w:id="542" w:name="Tc_y8J063CnwE6mX9rahHRJ6A_11_23"/>
      <w:bookmarkStart w:id="543" w:name="Tc_Lwhi1OUSDkaj0TLXGPFm_g_11_22"/>
      <w:bookmarkStart w:id="544" w:name="Tc_A4Jf_85_G0-cTv3QkFjOWQ_11_20"/>
      <w:bookmarkStart w:id="545" w:name="Tc_VuH2xA8xj021RsBJgaEoyA_11_19"/>
      <w:bookmarkStart w:id="546" w:name="Tc_nOCHXzWwMkaBLGpgqAscxA_11_17"/>
      <w:bookmarkStart w:id="547" w:name="Tc_bz8hMaFNS0Cuyvuj3HDQ9g_11_14"/>
      <w:bookmarkStart w:id="548" w:name="Tc_KlAI_f-tLk67HqqESCe-aA_11_11"/>
      <w:bookmarkStart w:id="549" w:name="Tc_ke_lDAZn8ka9rjvjmvXNzA_11_8"/>
      <w:bookmarkStart w:id="550" w:name="Tc_DfySgsbTn0K2r8W0HBx3LA_11_7"/>
      <w:bookmarkStart w:id="551" w:name="Tc_AtY8XnfeUUKDBUKXkJ3d7g_11_5"/>
      <w:bookmarkStart w:id="552" w:name="Tc_76fKL6awJkmnDWvCNCJ56g_11_2"/>
      <w:bookmarkStart w:id="553" w:name="Tc_YkMVM3xK50ePxqlkVY5j5A_11_0"/>
      <w:bookmarkStart w:id="554" w:name="Tc_FWE6s5CIE0WaP6w5JCBr5w_10_28"/>
      <w:bookmarkStart w:id="555" w:name="Tc_1Wb_doDojUeo4s7PoHGqiQ_10_25"/>
      <w:bookmarkStart w:id="556" w:name="Tc_CamMsZ6fGUqCOA9DBk4snw_10_22"/>
      <w:bookmarkStart w:id="557" w:name="Tc_WMM2UJSVKE-PUHrJ5m88Tw_10_19"/>
      <w:bookmarkStart w:id="558" w:name="Tc_cuS-EIkqm0udI9jPz2zNtw_10_16"/>
      <w:bookmarkStart w:id="559" w:name="Tc_XZyFwXmi80KODDvM8CsD0Q_10_13"/>
      <w:bookmarkStart w:id="560" w:name="Tc_qkya7RDAZEu9ePayiN_KFg_10_10"/>
      <w:bookmarkStart w:id="561" w:name="Tc_uANI47wBu0KlqFcB8ziKzA_10_7"/>
      <w:bookmarkStart w:id="562" w:name="Tc_O9cn-D_EokGQNQYQzHHMFg_10_5"/>
      <w:bookmarkStart w:id="563" w:name="Tc_DG7d6mWxk0eljYvBMsolKw_10_2"/>
      <w:bookmarkStart w:id="564" w:name="Tc_lh_ZlLB9YkON5VOwUKwtNw_9_28"/>
      <w:bookmarkStart w:id="565" w:name="Tc_E3zxB3eV3kKWM0Cmh6M1_Q_9_25"/>
      <w:bookmarkStart w:id="566" w:name="Tc_Xxv6Qx3A9kGBHQOmptmiCA_9_22"/>
      <w:bookmarkStart w:id="567" w:name="Tc_Tt82Sj1O6EmUPtIIaCgNJg_9_2"/>
      <w:bookmarkStart w:id="568" w:name="Tc_pWYuiRVdikinAG-ScuZahA_8_28"/>
      <w:bookmarkStart w:id="569" w:name="Tc_L60nkTwxbkC5SjHTPM1z9w_8_22"/>
      <w:bookmarkStart w:id="570" w:name="Tc_tH2Nhukmh0-oCZUGWfIM2A_8_2"/>
      <w:bookmarkStart w:id="571" w:name="Tc_ZUc14yHJh0K5jBB2-CZxEQ_7_28"/>
      <w:bookmarkStart w:id="572" w:name="Tc_kf4QxQ4txkWT2d1J3HkHig_7_2"/>
      <w:bookmarkStart w:id="573" w:name="Tc_iHVniBd4DkOdpHxGbJRsdw_6_28"/>
      <w:bookmarkStart w:id="574" w:name="Tc_BCr2U0SvZECugzNzT-MKVA_6_2"/>
      <w:bookmarkStart w:id="575" w:name="Tc_b7l-BYgyRE-CmsIKN4Bhcg_5_28"/>
      <w:bookmarkStart w:id="576" w:name="Tc_QOxoK1F3GEeGrSvTh9VekQ_5_2"/>
      <w:bookmarkStart w:id="577" w:name="Tc_55tVfeRH8USfSk04TmOogg_4_28"/>
      <w:bookmarkStart w:id="578" w:name="Tc_GRyRx4fssEKMWPMphU1mXA_4_2"/>
      <w:bookmarkStart w:id="579" w:name="Tc_c34H8yrSS0SaXl6w8ZvWvA_3_16"/>
      <w:bookmarkStart w:id="580" w:name="Tc_upR7EwXz2kCpyIAvL9umfQ_3_10"/>
      <w:bookmarkStart w:id="581" w:name="Tc_T0l513CRKESjrticRjlLRw_3_4"/>
      <w:bookmarkStart w:id="582" w:name="Tc_-XnSCljWu0meQlEu2luLdg_2_10"/>
      <w:bookmarkStart w:id="583" w:name="Tc_qrp-B6ZMIE-3neU0hdBsqw_2_4"/>
      <w:bookmarkStart w:id="584" w:name="Tc_rzgzp29arEiWY0mKtp450g_1_2"/>
      <w:bookmarkStart w:id="585" w:name="_3b254c65_7f00_47d4_aec9_4bbada3f79a5"/>
      <w:bookmarkStart w:id="586" w:name="Tc_1BtLDeUxY0e93yToYdQM7A_22_28"/>
      <w:bookmarkStart w:id="587" w:name="Tc_sArA77Si-EynDuXk4aN2PA_22_25"/>
      <w:bookmarkStart w:id="588" w:name="Tc_r0mqdmwLJE6C77GqZ5nPMw_22_22"/>
      <w:bookmarkStart w:id="589" w:name="Tc_g2or-vRzS0yjrhOtaD4nkw_22_20"/>
      <w:bookmarkStart w:id="590" w:name="Tc_Au6Mj3u2tkC1G-I7leRFyg_22_19"/>
      <w:bookmarkStart w:id="591" w:name="Tc_hadwr2l8PEujDH-_f71EUQ_22_13"/>
      <w:bookmarkStart w:id="592" w:name="Tc_OvrYAM6R-0apNy4PNkR82w_22_7"/>
      <w:bookmarkStart w:id="593" w:name="Tc_kVMHtVkWjUellsXms_2sTg_22_3"/>
      <w:bookmarkStart w:id="594" w:name="Tc_kVYVmG81ckO89etN_QE02w_22_2"/>
      <w:bookmarkStart w:id="595" w:name="Tc_bYifOH3LFkaG8LpmYYhIJQ_22_0"/>
      <w:bookmarkStart w:id="596" w:name="Tc_-2lR6bSD6k-RmXgA8HRjBg_21_23"/>
      <w:bookmarkStart w:id="597" w:name="Tc_o8D83lqSZ0Gz7CIx6ko18A_21_20"/>
      <w:bookmarkStart w:id="598" w:name="Tc_eDaet3Laskq0I4caDIvwsQ_21_17"/>
      <w:bookmarkStart w:id="599" w:name="Tc_81jt2-20SkG8yPbh2anqog_21_14"/>
      <w:bookmarkStart w:id="600" w:name="Tc_VSHo9s5Wvku1WQCzRZ3CKw_21_11"/>
      <w:bookmarkStart w:id="601" w:name="Tc_4756PvVU9ECEQ_tZlVc3UA_21_8"/>
      <w:bookmarkStart w:id="602" w:name="Tc_6viicw9G8kWe1m9ODitCow_21_5"/>
      <w:bookmarkStart w:id="603" w:name="Tc_c3mWLpb7akqvJLx1fXWckQ_21_3"/>
      <w:bookmarkStart w:id="604" w:name="Tc_JsVZ_8mYokuEaca7bECcQg_21_0"/>
      <w:bookmarkStart w:id="605" w:name="Tc_WnwkjM7x4kmzErRu1d8rAg_20_26"/>
      <w:bookmarkStart w:id="606" w:name="Tc_5p_eRFv-sk-JPo9Q0RQyDA_20_20"/>
      <w:bookmarkStart w:id="607" w:name="Tc_UatuwPish0q4UPWU4-t7zQ_20_14"/>
      <w:bookmarkStart w:id="608" w:name="Tc_bjNrHhvR1kaMI9_5vN-kIQ_20_11"/>
      <w:bookmarkStart w:id="609" w:name="Tc_sqcmZBrsnkKa3LDbeKw7pQ_20_8"/>
      <w:bookmarkStart w:id="610" w:name="Tc_ULAREc960Ue_2TBOLHv3qA_20_5"/>
      <w:bookmarkStart w:id="611" w:name="Tc_ZR9qsqC-SUCdZB5h31zOxg_20_3"/>
      <w:bookmarkStart w:id="612" w:name="Tc_33LazKKNqUS0M9LqZIGJpg_20_0"/>
      <w:bookmarkStart w:id="613" w:name="Tc_EcLfs2AH50uI3pVDI11E-A_19_26"/>
      <w:bookmarkStart w:id="614" w:name="Tc_A-Yxmgy3XkW1WIvk6p4nyA_19_20"/>
      <w:bookmarkStart w:id="615" w:name="Tc_Ideg_EmI7Ue4qZ4ge9EwUg_19_17"/>
      <w:bookmarkStart w:id="616" w:name="Tc_1mwYimOF6U2bRwbOmTdzIQ_19_14"/>
      <w:bookmarkStart w:id="617" w:name="Tc_dPuwOTthNE2HO7oYpPu5Vw_19_11"/>
      <w:bookmarkStart w:id="618" w:name="Tc_BDJ6MnHoYU-OwKiJ4Jo5cg_19_8"/>
      <w:bookmarkStart w:id="619" w:name="Tc_Iw15u4zW8kefNK_7b-tUww_19_5"/>
      <w:bookmarkStart w:id="620" w:name="Tc_pO7-oQ-C5kelTll8-Knt8w_19_3"/>
      <w:bookmarkStart w:id="621" w:name="Tc_IqDMQzl0dUG9GRhLYstU2Q_19_0"/>
      <w:bookmarkStart w:id="622" w:name="Tc_t0BLBSikz0Wj-NW3APm1PQ_18_26"/>
      <w:bookmarkStart w:id="623" w:name="Tc_80TMe54gCk2ViayD97VbDA_18_20"/>
      <w:bookmarkStart w:id="624" w:name="Tc_gmVV6d6puEeTnnlgsL9KyQ_18_17"/>
      <w:bookmarkStart w:id="625" w:name="Tc_6RzseW_MQE-dwTLXH-qWIQ_18_14"/>
      <w:bookmarkStart w:id="626" w:name="Tc_qsfMT566MUil4sT69bso9A_18_11"/>
      <w:bookmarkStart w:id="627" w:name="Tc_5DyPoPPyz0SbM9QCYFKjZQ_18_8"/>
      <w:bookmarkStart w:id="628" w:name="Tc_IfRghWfep0SYZKtEPKTlEA_18_5"/>
      <w:bookmarkStart w:id="629" w:name="Tc_H8tWoYe2vEWV-d3TjE47-g_18_3"/>
      <w:bookmarkStart w:id="630" w:name="Tc_536ISLd6lE-KbKhvBX0_6w_18_0"/>
      <w:bookmarkStart w:id="631" w:name="Tc_7tulGpDDekCCML8XGAwr_Q_17_26"/>
      <w:bookmarkStart w:id="632" w:name="Tc_nlZtEsWHf0C4Vt1s6zpjbA_17_23"/>
      <w:bookmarkStart w:id="633" w:name="Tc_9VdFBfvBakKUTY7Ogs370A_17_20"/>
      <w:bookmarkStart w:id="634" w:name="Tc_ZDWmcNkHsUiAqQS-2ItwIA_17_17"/>
      <w:bookmarkStart w:id="635" w:name="Tc_DpFM6q6NUUSYQDmo_e6FJQ_17_8"/>
      <w:bookmarkStart w:id="636" w:name="Tc_WiEEh4LfwEq29Y9CE9dzlw_17_5"/>
      <w:bookmarkStart w:id="637" w:name="Tc_3hc0OuU7SU-ZJS4JnQ8kRQ_17_3"/>
      <w:bookmarkStart w:id="638" w:name="Tc_3cDVNTsQRkW-0cBqYmDnrA_17_0"/>
      <w:bookmarkStart w:id="639" w:name="Tc_-bxyPEjDyEW6W68pppDPhg_16_26"/>
      <w:bookmarkStart w:id="640" w:name="Tc_0rUoqSGd60eA2a9wFqHeUg_16_23"/>
      <w:bookmarkStart w:id="641" w:name="Tc_SriVbyCxzkCHGLJxE0aqPw_16_20"/>
      <w:bookmarkStart w:id="642" w:name="Tc_psrOmvXQqUqxDbY0sP22PA_16_17"/>
      <w:bookmarkStart w:id="643" w:name="Tc_rjWkOiUZUEymOcjDflsoRQ_16_14"/>
      <w:bookmarkStart w:id="644" w:name="Tc_cRgtyBL5oEGs2mmipTzw4g_16_11"/>
      <w:bookmarkStart w:id="645" w:name="Tc_p0BbHi5zbUe2nk3oAxoH3g_16_3"/>
      <w:bookmarkStart w:id="646" w:name="Tc_852LTcuAREOxf6KzwBKDEA_16_0"/>
      <w:bookmarkStart w:id="647" w:name="Tc_0uLEoeXhEECc5voYx4VgIg_15_26"/>
      <w:bookmarkStart w:id="648" w:name="Tc_cZwJZWlPjUuyv5qMb4tZIg_15_23"/>
      <w:bookmarkStart w:id="649" w:name="Tc_9AJMBgGsH0qvvQ4L3OeLrg_15_20"/>
      <w:bookmarkStart w:id="650" w:name="Tc_7UovGo0AjUWHDJOFeAVNTA_15_17"/>
      <w:bookmarkStart w:id="651" w:name="Tc_3vYJcDpJz0mb4tsuHLWVFQ_15_14"/>
      <w:bookmarkStart w:id="652" w:name="Tc_-TZ60OaYK0-0PBB_P67lXA_15_11"/>
      <w:bookmarkStart w:id="653" w:name="Tc_Jkp85ZWoiEKxpP26w0tWUw_15_3"/>
      <w:bookmarkStart w:id="654" w:name="Tc_mdjGx2KA2EOeDlfM6nerDA_15_0"/>
      <w:bookmarkStart w:id="655" w:name="Tc_p3niHzM6fEylI_82JGezVA_14_20"/>
      <w:bookmarkStart w:id="656" w:name="Tc_dtWfVDJehUic8W93Cufmpg_14_14"/>
      <w:bookmarkStart w:id="657" w:name="Tc_1CftNXVkdE-cmjOgUti1pg_14_11"/>
      <w:bookmarkStart w:id="658" w:name="Tc_9VJp1Ee850KPcdaXWQ_hlg_14_8"/>
      <w:bookmarkStart w:id="659" w:name="Tc_KQO_MrkFu06yCXrf0mx--A_14_5"/>
      <w:bookmarkStart w:id="660" w:name="Tc_VtZLBnGZ9UmLao-xwLGAdA_14_0"/>
      <w:bookmarkStart w:id="661" w:name="Tc_zL81c4HF9kOvCGp2OzzJkg_13_26"/>
      <w:bookmarkStart w:id="662" w:name="Tc_8PkO7Wp5iEuUUkeZZRnReA_13_23"/>
      <w:bookmarkStart w:id="663" w:name="Tc_vh8HPtppKUiU0hk2Sg8k0Q_13_20"/>
      <w:bookmarkStart w:id="664" w:name="Tc_8LKaqdpWb0aZs6Y5sjAbmg_13_17"/>
      <w:bookmarkStart w:id="665" w:name="Tc_x7Dv6fYQ8EGpmuZ2zhp2xg_13_14"/>
      <w:bookmarkStart w:id="666" w:name="Tc_g9QYdwI6dk6Wzj3PxKEBxQ_13_11"/>
      <w:bookmarkStart w:id="667" w:name="Tc_1MfK9k8tzkiJSl9R4ROgEw_13_8"/>
      <w:bookmarkStart w:id="668" w:name="Tc_zIawHASQo0O6AAdaHQxJGw_13_5"/>
      <w:bookmarkStart w:id="669" w:name="Tc_ixa5AARwmUyCdE6XIMcbWw_13_0"/>
      <w:bookmarkStart w:id="670" w:name="Tc_bFanPRnEX06m7cLzlHGjfA_12_26"/>
      <w:bookmarkStart w:id="671" w:name="Tc_zE4_SFPGbUGExAFz1Pf1Ww_12_23"/>
      <w:bookmarkStart w:id="672" w:name="Tc_nQMneSse_0ylAqDh38o2cg_12_20"/>
      <w:bookmarkStart w:id="673" w:name="Tc_iIyL7KnAeEekufkFi5IDKA_12_17"/>
      <w:bookmarkStart w:id="674" w:name="Tc_gQCu3obw0UKdz107sj8c9g_12_14"/>
      <w:bookmarkStart w:id="675" w:name="Tc_yhVHXbsO5kGfFf-45b7f4w_12_11"/>
      <w:bookmarkStart w:id="676" w:name="Tc_siE82RLH9Em4P8MrT1JW3A_12_8"/>
      <w:bookmarkStart w:id="677" w:name="Tc_lbkF9N01qU-gqrfpH6BHbQ_12_5"/>
      <w:bookmarkStart w:id="678" w:name="Tc_mFE8XPhackGKv826P04hng_12_0"/>
      <w:bookmarkStart w:id="679" w:name="Tc_y3ca2UtT80an9qV_jyZXow_11_26"/>
      <w:bookmarkStart w:id="680" w:name="Tc_xmLHuwZRYk6sbHt9Ct-cdg_11_25"/>
      <w:bookmarkStart w:id="681" w:name="Tc_y8J063CnwE6mX9rahHRJ6A_11_23"/>
      <w:bookmarkStart w:id="682" w:name="Tc_Lwhi1OUSDkaj0TLXGPFm_g_11_22"/>
      <w:bookmarkStart w:id="683" w:name="Tc_A4Jf_85_G0-cTv3QkFjOWQ_11_20"/>
      <w:bookmarkStart w:id="684" w:name="Tc_VuH2xA8xj021RsBJgaEoyA_11_19"/>
      <w:bookmarkStart w:id="685" w:name="Tc_nOCHXzWwMkaBLGpgqAscxA_11_17"/>
      <w:bookmarkStart w:id="686" w:name="Tc_bz8hMaFNS0Cuyvuj3HDQ9g_11_14"/>
      <w:bookmarkStart w:id="687" w:name="Tc_KlAI_f-tLk67HqqESCe-aA_11_11"/>
      <w:bookmarkStart w:id="688" w:name="Tc_ke_lDAZn8ka9rjvjmvXNzA_11_8"/>
      <w:bookmarkStart w:id="689" w:name="Tc_DfySgsbTn0K2r8W0HBx3LA_11_7"/>
      <w:bookmarkStart w:id="690" w:name="Tc_AtY8XnfeUUKDBUKXkJ3d7g_11_5"/>
      <w:bookmarkStart w:id="691" w:name="Tc_76fKL6awJkmnDWvCNCJ56g_11_2"/>
      <w:bookmarkStart w:id="692" w:name="Tc_YkMVM3xK50ePxqlkVY5j5A_11_0"/>
      <w:bookmarkStart w:id="693" w:name="Tc_FWE6s5CIE0WaP6w5JCBr5w_10_28"/>
      <w:bookmarkStart w:id="694" w:name="Tc_1Wb_doDojUeo4s7PoHGqiQ_10_25"/>
      <w:bookmarkStart w:id="695" w:name="Tc_CamMsZ6fGUqCOA9DBk4snw_10_22"/>
      <w:bookmarkStart w:id="696" w:name="Tc_WMM2UJSVKE-PUHrJ5m88Tw_10_19"/>
      <w:bookmarkStart w:id="697" w:name="Tc_cuS-EIkqm0udI9jPz2zNtw_10_16"/>
      <w:bookmarkStart w:id="698" w:name="Tc_XZyFwXmi80KODDvM8CsD0Q_10_13"/>
      <w:bookmarkStart w:id="699" w:name="Tc_qkya7RDAZEu9ePayiN_KFg_10_10"/>
      <w:bookmarkStart w:id="700" w:name="Tc_uANI47wBu0KlqFcB8ziKzA_10_7"/>
      <w:bookmarkStart w:id="701" w:name="Tc_O9cn-D_EokGQNQYQzHHMFg_10_5"/>
      <w:bookmarkStart w:id="702" w:name="Tc_DG7d6mWxk0eljYvBMsolKw_10_2"/>
      <w:bookmarkStart w:id="703" w:name="Tc_lh_ZlLB9YkON5VOwUKwtNw_9_28"/>
      <w:bookmarkStart w:id="704" w:name="Tc_E3zxB3eV3kKWM0Cmh6M1_Q_9_25"/>
      <w:bookmarkStart w:id="705" w:name="Tc_Xxv6Qx3A9kGBHQOmptmiCA_9_22"/>
      <w:bookmarkStart w:id="706" w:name="Tc_Tt82Sj1O6EmUPtIIaCgNJg_9_2"/>
      <w:bookmarkStart w:id="707" w:name="Tc_pWYuiRVdikinAG-ScuZahA_8_28"/>
      <w:bookmarkStart w:id="708" w:name="Tc_L60nkTwxbkC5SjHTPM1z9w_8_22"/>
      <w:bookmarkStart w:id="709" w:name="Tc_tH2Nhukmh0-oCZUGWfIM2A_8_2"/>
      <w:bookmarkStart w:id="710" w:name="Tc_ZUc14yHJh0K5jBB2-CZxEQ_7_28"/>
      <w:bookmarkStart w:id="711" w:name="Tc_kf4QxQ4txkWT2d1J3HkHig_7_2"/>
      <w:bookmarkStart w:id="712" w:name="Tc_iHVniBd4DkOdpHxGbJRsdw_6_28"/>
      <w:bookmarkStart w:id="713" w:name="Tc_BCr2U0SvZECugzNzT-MKVA_6_2"/>
      <w:bookmarkStart w:id="714" w:name="Tc_b7l-BYgyRE-CmsIKN4Bhcg_5_28"/>
      <w:bookmarkStart w:id="715" w:name="Tc_QOxoK1F3GEeGrSvTh9VekQ_5_2"/>
      <w:bookmarkStart w:id="716" w:name="Tc_55tVfeRH8USfSk04TmOogg_4_28"/>
      <w:bookmarkStart w:id="717" w:name="Tc_GRyRx4fssEKMWPMphU1mXA_4_2"/>
      <w:bookmarkStart w:id="718" w:name="Tc_c34H8yrSS0SaXl6w8ZvWvA_3_16"/>
      <w:bookmarkStart w:id="719" w:name="Tc_upR7EwXz2kCpyIAvL9umfQ_3_10"/>
      <w:bookmarkStart w:id="720" w:name="Tc_T0l513CRKESjrticRjlLRw_3_4"/>
      <w:bookmarkStart w:id="721" w:name="Tc_-XnSCljWu0meQlEu2luLdg_2_10"/>
      <w:bookmarkStart w:id="722" w:name="Tc_qrp-B6ZMIE-3neU0hdBsqw_2_4"/>
      <w:bookmarkStart w:id="723" w:name="Tc_rzgzp29arEiWY0mKtp450g_1_2"/>
      <w:bookmarkStart w:id="724" w:name="_3b254c65_7f00_47d4_aec9_4bbada3f79a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tbl>
      <w:tblPr>
        <w:tblW w:w="10429" w:type="dxa"/>
        <w:jc w:val="left"/>
        <w:tblInd w:w="0" w:type="dxa"/>
        <w:tblLayout w:type="fixed"/>
        <w:tblCellMar>
          <w:top w:w="0" w:type="dxa"/>
          <w:left w:w="0" w:type="dxa"/>
          <w:bottom w:w="0" w:type="dxa"/>
          <w:right w:w="0" w:type="dxa"/>
        </w:tblCellMar>
      </w:tblPr>
      <w:tblGrid>
        <w:gridCol w:w="1126"/>
        <w:gridCol w:w="346"/>
        <w:gridCol w:w="240"/>
        <w:gridCol w:w="556"/>
        <w:gridCol w:w="109"/>
        <w:gridCol w:w="376"/>
        <w:gridCol w:w="346"/>
        <w:gridCol w:w="166"/>
        <w:gridCol w:w="436"/>
        <w:gridCol w:w="346"/>
        <w:gridCol w:w="109"/>
        <w:gridCol w:w="346"/>
        <w:gridCol w:w="346"/>
        <w:gridCol w:w="166"/>
        <w:gridCol w:w="376"/>
        <w:gridCol w:w="346"/>
        <w:gridCol w:w="109"/>
        <w:gridCol w:w="436"/>
        <w:gridCol w:w="346"/>
        <w:gridCol w:w="170"/>
        <w:gridCol w:w="356"/>
        <w:gridCol w:w="346"/>
        <w:gridCol w:w="166"/>
        <w:gridCol w:w="465"/>
        <w:gridCol w:w="346"/>
        <w:gridCol w:w="204"/>
        <w:gridCol w:w="592"/>
        <w:gridCol w:w="346"/>
        <w:gridCol w:w="194"/>
        <w:gridCol w:w="617"/>
      </w:tblGrid>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2400" cy="175260"/>
                      <wp:effectExtent l="0" t="0" r="0" b="0"/>
                      <wp:wrapNone/>
                      <wp:docPr id="163" name="Frame16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53060" cy="175260"/>
                      <wp:effectExtent l="0" t="0" r="0" b="0"/>
                      <wp:wrapNone/>
                      <wp:docPr id="164" name="Frame16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38760" cy="175260"/>
                      <wp:effectExtent l="0" t="0" r="0" b="0"/>
                      <wp:wrapNone/>
                      <wp:docPr id="166" name="Frame16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05410" cy="175260"/>
                      <wp:effectExtent l="0" t="0" r="0" b="0"/>
                      <wp:wrapNone/>
                      <wp:docPr id="168" name="Frame16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76860" cy="175260"/>
                      <wp:effectExtent l="0" t="0" r="0" b="0"/>
                      <wp:wrapNone/>
                      <wp:docPr id="169" name="Frame16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05410" cy="175260"/>
                      <wp:effectExtent l="0" t="0" r="0" b="0"/>
                      <wp:wrapNone/>
                      <wp:docPr id="174" name="Frame17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38760" cy="175260"/>
                      <wp:effectExtent l="0" t="0" r="0" b="0"/>
                      <wp:wrapNone/>
                      <wp:docPr id="175" name="Frame17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76860" cy="175260"/>
                      <wp:effectExtent l="0" t="0" r="0" b="0"/>
                      <wp:wrapNone/>
                      <wp:docPr id="178" name="Frame17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07950" cy="175260"/>
                      <wp:effectExtent l="0" t="0" r="0" b="0"/>
                      <wp:wrapNone/>
                      <wp:docPr id="180" name="Frame180"/>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6060" cy="175260"/>
                      <wp:effectExtent l="0" t="0" r="0" b="0"/>
                      <wp:wrapNone/>
                      <wp:docPr id="181" name="Frame18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05410" cy="175260"/>
                      <wp:effectExtent l="0" t="0" r="0" b="0"/>
                      <wp:wrapNone/>
                      <wp:docPr id="183" name="Frame18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95275" cy="175260"/>
                      <wp:effectExtent l="0" t="0" r="0" b="0"/>
                      <wp:wrapNone/>
                      <wp:docPr id="184" name="Frame184"/>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9540" cy="175260"/>
                      <wp:effectExtent l="0" t="0" r="0" b="0"/>
                      <wp:wrapNone/>
                      <wp:docPr id="186" name="Frame186"/>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75920" cy="175260"/>
                      <wp:effectExtent l="0" t="0" r="0" b="0"/>
                      <wp:wrapNone/>
                      <wp:docPr id="187" name="Frame187"/>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3190" cy="175260"/>
                      <wp:effectExtent l="0" t="0" r="0" b="0"/>
                      <wp:wrapNone/>
                      <wp:docPr id="189" name="Frame18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91795" cy="175260"/>
                      <wp:effectExtent l="0" t="0" r="0" b="0"/>
                      <wp:wrapNone/>
                      <wp:docPr id="190" name="Frame190"/>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57" w:type="dxa"/>
            <w:gridSpan w:val="2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Year Ended December 31, 2024</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1433" w:type="dxa"/>
            <w:gridSpan w:val="5"/>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 Redeemable</w:t>
            </w:r>
          </w:p>
        </w:tc>
        <w:tc>
          <w:tcPr>
            <w:tcW w:w="346" w:type="dxa"/>
            <w:tcBorders/>
            <w:vAlign w:val="center"/>
          </w:tcPr>
          <w:p>
            <w:pPr>
              <w:pStyle w:val="TableContents"/>
              <w:bidi w:val="0"/>
              <w:spacing w:before="0" w:after="0"/>
              <w:ind w:left="0" w:right="0" w:hanging="0"/>
              <w:jc w:val="center"/>
              <w:rPr/>
            </w:pPr>
            <w:r>
              <w:rPr/>
              <w:t>​</w:t>
            </w:r>
          </w:p>
        </w:tc>
        <w:tc>
          <w:tcPr>
            <w:tcW w:w="1343" w:type="dxa"/>
            <w:gridSpan w:val="5"/>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Class B </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4"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Convertible Preferred Stock</w:t>
            </w:r>
          </w:p>
        </w:tc>
        <w:tc>
          <w:tcPr>
            <w:tcW w:w="346" w:type="dxa"/>
            <w:tcBorders/>
            <w:vAlign w:val="center"/>
          </w:tcPr>
          <w:p>
            <w:pPr>
              <w:pStyle w:val="TableContents"/>
              <w:bidi w:val="0"/>
              <w:spacing w:before="0" w:after="0"/>
              <w:ind w:left="0" w:right="0" w:hanging="0"/>
              <w:jc w:val="center"/>
              <w:rPr/>
            </w:pPr>
            <w:r>
              <w:rPr/>
              <w:t>​</w:t>
            </w:r>
          </w:p>
        </w:tc>
        <w:tc>
          <w:tcPr>
            <w:tcW w:w="13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Convertible Preferred Stock</w:t>
            </w:r>
          </w:p>
        </w:tc>
        <w:tc>
          <w:tcPr>
            <w:tcW w:w="346" w:type="dxa"/>
            <w:tcBorders/>
            <w:vAlign w:val="center"/>
          </w:tcPr>
          <w:p>
            <w:pPr>
              <w:pStyle w:val="TableContents"/>
              <w:bidi w:val="0"/>
              <w:spacing w:before="0" w:after="0"/>
              <w:ind w:left="0" w:right="0" w:hanging="0"/>
              <w:jc w:val="center"/>
              <w:rPr/>
            </w:pPr>
            <w:r>
              <w:rPr/>
              <w:t>​</w:t>
            </w:r>
          </w:p>
        </w:tc>
        <w:tc>
          <w:tcPr>
            <w:tcW w:w="14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4" w:type="dxa"/>
            <w:tcBorders/>
            <w:vAlign w:val="center"/>
          </w:tcPr>
          <w:p>
            <w:pPr>
              <w:pStyle w:val="TableContents"/>
              <w:bidi w:val="0"/>
              <w:spacing w:before="0" w:after="0"/>
              <w:ind w:left="0" w:right="0" w:hanging="0"/>
              <w:jc w:val="center"/>
              <w:rPr/>
            </w:pPr>
            <w:r>
              <w:rPr/>
              <w:t>​</w:t>
            </w:r>
          </w:p>
        </w:tc>
        <w:tc>
          <w:tcPr>
            <w:tcW w:w="617" w:type="dxa"/>
            <w:tcBorders/>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Members’</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Attributed to</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4" w:type="dxa"/>
            <w:tcBorders/>
            <w:vAlign w:val="center"/>
          </w:tcPr>
          <w:p>
            <w:pPr>
              <w:pStyle w:val="TableContents"/>
              <w:bidi w:val="0"/>
              <w:spacing w:before="0" w:after="0"/>
              <w:ind w:left="0" w:right="0" w:hanging="0"/>
              <w:jc w:val="center"/>
              <w:rPr/>
            </w:pPr>
            <w:r>
              <w:rPr/>
              <w:t>​</w:t>
            </w:r>
          </w:p>
        </w:tc>
        <w:tc>
          <w:tcPr>
            <w:tcW w:w="5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Legacy</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Mezzanine</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Wentworth</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and</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Management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0"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  </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Members’</w:t>
            </w:r>
          </w:p>
        </w:tc>
      </w:tr>
      <w:tr>
        <w:trPr/>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Services LLC</w:t>
            </w:r>
          </w:p>
        </w:tc>
        <w:tc>
          <w:tcPr>
            <w:tcW w:w="109" w:type="dxa"/>
            <w:tcBorders/>
            <w:vAlign w:val="center"/>
          </w:tcPr>
          <w:p>
            <w:pPr>
              <w:pStyle w:val="TableContents"/>
              <w:bidi w:val="0"/>
              <w:spacing w:before="0" w:after="0"/>
              <w:ind w:left="0" w:right="0" w:hanging="0"/>
              <w:jc w:val="center"/>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46" w:type="dxa"/>
            <w:tcBorders/>
            <w:vAlign w:val="center"/>
          </w:tcPr>
          <w:p>
            <w:pPr>
              <w:pStyle w:val="TableContents"/>
              <w:bidi w:val="0"/>
              <w:spacing w:before="0" w:after="0"/>
              <w:ind w:left="0" w:right="0" w:hanging="0"/>
              <w:jc w:val="center"/>
              <w:rPr/>
            </w:pPr>
            <w:r>
              <w:rPr/>
              <w:t>  ​ ​ ​</w:t>
            </w:r>
          </w:p>
        </w:tc>
        <w:tc>
          <w:tcPr>
            <w:tcW w:w="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  ​ ​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46" w:type="dxa"/>
            <w:tcBorders/>
            <w:vAlign w:val="center"/>
          </w:tcPr>
          <w:p>
            <w:pPr>
              <w:pStyle w:val="TableContents"/>
              <w:bidi w:val="0"/>
              <w:spacing w:before="0" w:after="0"/>
              <w:ind w:left="0" w:right="0" w:hanging="0"/>
              <w:jc w:val="center"/>
              <w:rPr/>
            </w:pPr>
            <w:r>
              <w:rPr/>
              <w:t>  ​ ​ ​</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  ​ ​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46" w:type="dxa"/>
            <w:tcBorders/>
            <w:vAlign w:val="center"/>
          </w:tcPr>
          <w:p>
            <w:pPr>
              <w:pStyle w:val="TableContents"/>
              <w:bidi w:val="0"/>
              <w:spacing w:before="0" w:after="0"/>
              <w:ind w:left="0" w:right="0" w:hanging="0"/>
              <w:jc w:val="center"/>
              <w:rPr/>
            </w:pPr>
            <w:r>
              <w:rPr/>
              <w:t>  ​ ​ ​</w:t>
            </w:r>
          </w:p>
        </w:tc>
        <w:tc>
          <w:tcPr>
            <w:tcW w:w="5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xml:space="preserve">Balance January 1, 2024 </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5,103</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5,103</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Distributions</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 prior to transaction</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730</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730</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Reverse merger and recapitalization of legacy Wentworth Management Services LLC</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(5,748)</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16,566</w:t>
            </w:r>
          </w:p>
        </w:tc>
        <w:tc>
          <w:tcPr>
            <w:tcW w:w="34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23,693</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(17,961)</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Mezzanine Equity - Shares Issued in connection with PIPE financing</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14,400</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14,400</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Class A redeemable convertible preferred stock</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547</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Class B convertible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1,500</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1,500</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 Class A redeemable convertible preferred stock</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(1,094)</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(1,094)</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 Class B convertible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70"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exercise of warrants</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w:t>
            </w:r>
          </w:p>
        </w:tc>
        <w:tc>
          <w:tcPr>
            <w:tcW w:w="346" w:type="dxa"/>
            <w:tcBorders/>
            <w:vAlign w:val="center"/>
          </w:tcPr>
          <w:p>
            <w:pPr>
              <w:pStyle w:val="TableContents"/>
              <w:bidi w:val="0"/>
              <w:spacing w:before="0" w:after="0"/>
              <w:ind w:left="0" w:right="0" w:hanging="0"/>
              <w:jc w:val="left"/>
              <w:rPr/>
            </w:pPr>
            <w:r>
              <w:rPr/>
              <w:t>​</w:t>
            </w:r>
          </w:p>
        </w:tc>
        <w:tc>
          <w:tcPr>
            <w:tcW w:w="170"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416</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416</w:t>
            </w:r>
          </w:p>
        </w:tc>
      </w:tr>
      <w:tr>
        <w:trPr/>
        <w:tc>
          <w:tcPr>
            <w:tcW w:w="1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Net Loss </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(5,292)</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(5,292)</w:t>
            </w:r>
          </w:p>
        </w:tc>
      </w:tr>
      <w:tr>
        <w:trPr/>
        <w:tc>
          <w:tcPr>
            <w:tcW w:w="112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December 31, 2024</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1,555</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14,947</w:t>
            </w:r>
          </w:p>
        </w:tc>
        <w:tc>
          <w:tcPr>
            <w:tcW w:w="346" w:type="dxa"/>
            <w:tcBorders/>
            <w:vAlign w:val="center"/>
          </w:tcPr>
          <w:p>
            <w:pPr>
              <w:pStyle w:val="TableContents"/>
              <w:bidi w:val="0"/>
              <w:spacing w:before="0" w:after="0"/>
              <w:ind w:left="0" w:right="0" w:hanging="0"/>
              <w:jc w:val="left"/>
              <w:rPr/>
            </w:pPr>
            <w:r>
              <w:rPr/>
              <w:t> </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1,500</w:t>
            </w:r>
          </w:p>
        </w:tc>
        <w:tc>
          <w:tcPr>
            <w:tcW w:w="346" w:type="dxa"/>
            <w:tcBorders/>
            <w:vAlign w:val="center"/>
          </w:tcPr>
          <w:p>
            <w:pPr>
              <w:pStyle w:val="TableContents"/>
              <w:bidi w:val="0"/>
              <w:spacing w:before="0" w:after="0"/>
              <w:ind w:left="0" w:right="0" w:hanging="0"/>
              <w:jc w:val="righ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16,603</w:t>
            </w:r>
          </w:p>
        </w:tc>
        <w:tc>
          <w:tcPr>
            <w:tcW w:w="346" w:type="dxa"/>
            <w:tcBorders/>
            <w:vAlign w:val="center"/>
          </w:tcPr>
          <w:p>
            <w:pPr>
              <w:pStyle w:val="TableContents"/>
              <w:bidi w:val="0"/>
              <w:spacing w:before="0" w:after="0"/>
              <w:ind w:left="0" w:right="0" w:hanging="0"/>
              <w:jc w:val="right"/>
              <w:rPr/>
            </w:pPr>
            <w:r>
              <w:rPr/>
              <w:t>​</w:t>
            </w:r>
          </w:p>
        </w:tc>
        <w:tc>
          <w:tcPr>
            <w:tcW w:w="1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22,984</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(23,253)</w:t>
            </w:r>
          </w:p>
        </w:tc>
        <w:tc>
          <w:tcPr>
            <w:tcW w:w="346" w:type="dxa"/>
            <w:tcBorders/>
            <w:vAlign w:val="center"/>
          </w:tcPr>
          <w:p>
            <w:pPr>
              <w:pStyle w:val="TableContents"/>
              <w:bidi w:val="0"/>
              <w:spacing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7"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16,178</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25" w:name="_9ab554e2_7243_46bc_bb22_e9404c55d8c4"/>
      <w:bookmarkEnd w:id="725"/>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726" w:name="COMPREHENSIVEINCOME_151821"/>
      <w:bookmarkEnd w:id="726"/>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27" w:name="Tc_U8a6Rz_lZEOkbuMSHKaEHQ_7_5"/>
      <w:bookmarkStart w:id="728" w:name="Tc_S4vIQLq0YkKHmsX-LncwnA_7_2"/>
      <w:bookmarkStart w:id="729" w:name="Tc_MF7DQvUVME-gQfYxXTNMlA_7_0"/>
      <w:bookmarkStart w:id="730" w:name="Tc_4YVrAYXuNkmp3R_PypDl8w_6_6"/>
      <w:bookmarkStart w:id="731" w:name="Tc_6rmwToAU8kSxILJ078-nRg_6_5"/>
      <w:bookmarkStart w:id="732" w:name="Tc_CeRzwqYyT0KV0hou3BBgSw_6_2"/>
      <w:bookmarkStart w:id="733" w:name="Tc__0kuqn6jj0WvUztJfG_NEw_6_0"/>
      <w:bookmarkStart w:id="734" w:name="Tc_E36aOc7QD0uEpiDBI95NiQ_5_6"/>
      <w:bookmarkStart w:id="735" w:name="Tc_mk5U9CwsfkeBv6odpaYtQA_5_0"/>
      <w:bookmarkStart w:id="736" w:name="Tc_iJEbVlGBgE2E0eMpshIr-g_4_0"/>
      <w:bookmarkStart w:id="737" w:name="Tc_HLDx2kTIH0KB5jaWT3cgUQ_3_5"/>
      <w:bookmarkStart w:id="738" w:name="Tc_nJ5kryzpSEyxDS7HpyQOLw_3_2"/>
      <w:bookmarkStart w:id="739" w:name="Tc_L5f9hWyMOkG_tRGtKORJ4A_3_0"/>
      <w:bookmarkStart w:id="740" w:name="Tc_zAFQYtplTEOc54mifPONpA_2_5"/>
      <w:bookmarkStart w:id="741" w:name="Tc_gaVnQmKaF0aRUZIVTLH9jA_2_2"/>
      <w:bookmarkStart w:id="742" w:name="Tc_2EJn_kGBHkeBDTbD8IIrYA_1_2"/>
      <w:bookmarkStart w:id="743" w:name="_57b0e9ed_28fa_44a5_a3ea_53b5aadedc6b"/>
      <w:bookmarkStart w:id="744" w:name="Tc_U8a6Rz_lZEOkbuMSHKaEHQ_7_5"/>
      <w:bookmarkStart w:id="745" w:name="Tc_S4vIQLq0YkKHmsX-LncwnA_7_2"/>
      <w:bookmarkStart w:id="746" w:name="Tc_MF7DQvUVME-gQfYxXTNMlA_7_0"/>
      <w:bookmarkStart w:id="747" w:name="Tc_4YVrAYXuNkmp3R_PypDl8w_6_6"/>
      <w:bookmarkStart w:id="748" w:name="Tc_6rmwToAU8kSxILJ078-nRg_6_5"/>
      <w:bookmarkStart w:id="749" w:name="Tc_CeRzwqYyT0KV0hou3BBgSw_6_2"/>
      <w:bookmarkStart w:id="750" w:name="Tc__0kuqn6jj0WvUztJfG_NEw_6_0"/>
      <w:bookmarkStart w:id="751" w:name="Tc_E36aOc7QD0uEpiDBI95NiQ_5_6"/>
      <w:bookmarkStart w:id="752" w:name="Tc_mk5U9CwsfkeBv6odpaYtQA_5_0"/>
      <w:bookmarkStart w:id="753" w:name="Tc_iJEbVlGBgE2E0eMpshIr-g_4_0"/>
      <w:bookmarkStart w:id="754" w:name="Tc_HLDx2kTIH0KB5jaWT3cgUQ_3_5"/>
      <w:bookmarkStart w:id="755" w:name="Tc_nJ5kryzpSEyxDS7HpyQOLw_3_2"/>
      <w:bookmarkStart w:id="756" w:name="Tc_L5f9hWyMOkG_tRGtKORJ4A_3_0"/>
      <w:bookmarkStart w:id="757" w:name="Tc_zAFQYtplTEOc54mifPONpA_2_5"/>
      <w:bookmarkStart w:id="758" w:name="Tc_gaVnQmKaF0aRUZIVTLH9jA_2_2"/>
      <w:bookmarkStart w:id="759" w:name="Tc_2EJn_kGBHkeBDTbD8IIrYA_1_2"/>
      <w:bookmarkStart w:id="760" w:name="_57b0e9ed_28fa_44a5_a3ea_53b5aadedc6b"/>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tbl>
      <w:tblPr>
        <w:tblW w:w="6526" w:type="dxa"/>
        <w:jc w:val="left"/>
        <w:tblInd w:w="0" w:type="dxa"/>
        <w:tblLayout w:type="fixed"/>
        <w:tblCellMar>
          <w:top w:w="0" w:type="dxa"/>
          <w:left w:w="0" w:type="dxa"/>
          <w:bottom w:w="0" w:type="dxa"/>
          <w:right w:w="0" w:type="dxa"/>
        </w:tblCellMar>
      </w:tblPr>
      <w:tblGrid>
        <w:gridCol w:w="3496"/>
        <w:gridCol w:w="346"/>
        <w:gridCol w:w="273"/>
        <w:gridCol w:w="739"/>
        <w:gridCol w:w="447"/>
        <w:gridCol w:w="273"/>
        <w:gridCol w:w="952"/>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219960" cy="175260"/>
                      <wp:effectExtent l="0" t="0" r="0" b="0"/>
                      <wp:wrapNone/>
                      <wp:docPr id="191" name="Frame191"/>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73355" cy="175260"/>
                      <wp:effectExtent l="0" t="0" r="0" b="0"/>
                      <wp:wrapNone/>
                      <wp:docPr id="193" name="Frame193"/>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69265" cy="175260"/>
                      <wp:effectExtent l="0" t="0" r="0" b="0"/>
                      <wp:wrapNone/>
                      <wp:docPr id="194" name="Frame194"/>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83845" cy="175260"/>
                      <wp:effectExtent l="0" t="0" r="0" b="0"/>
                      <wp:wrapNone/>
                      <wp:docPr id="195" name="Frame195"/>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73355" cy="175260"/>
                      <wp:effectExtent l="0" t="0" r="0" b="0"/>
                      <wp:wrapNone/>
                      <wp:docPr id="196" name="Frame19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04520" cy="175260"/>
                      <wp:effectExtent l="0" t="0" r="0" b="0"/>
                      <wp:wrapNone/>
                      <wp:docPr id="197" name="Frame197"/>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7" w:type="dxa"/>
            <w:tcBorders/>
            <w:vAlign w:val="center"/>
          </w:tcPr>
          <w:p>
            <w:pPr>
              <w:pStyle w:val="TableContents"/>
              <w:bidi w:val="0"/>
              <w:spacing w:before="0" w:after="0"/>
              <w:ind w:left="0" w:right="0" w:hanging="0"/>
              <w:jc w:val="center"/>
              <w:rPr/>
            </w:pPr>
            <w:r>
              <w:rPr/>
              <w:t>  ​ ​ ​</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w:t>
            </w:r>
          </w:p>
        </w:tc>
        <w:tc>
          <w:tcPr>
            <w:tcW w:w="447"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(5,292)</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0"/>
              <w:ind w:left="0" w:right="0" w:hanging="0"/>
              <w:jc w:val="left"/>
              <w:rPr>
                <w:color w:val="FFFFFF"/>
              </w:rPr>
            </w:pPr>
            <w:r>
              <w:rPr>
                <w:color w:val="FFFFFF"/>
              </w:rPr>
              <w:t>​</w:t>
            </w:r>
          </w:p>
        </w:tc>
        <w:tc>
          <w:tcPr>
            <w:tcW w:w="273" w:type="dxa"/>
            <w:tcBorders/>
            <w:vAlign w:val="center"/>
          </w:tcPr>
          <w:p>
            <w:pPr>
              <w:pStyle w:val="TableContents"/>
              <w:bidi w:val="0"/>
              <w:spacing w:before="0" w:after="0"/>
              <w:ind w:left="0" w:right="0" w:hanging="0"/>
              <w:jc w:val="left"/>
              <w:rPr>
                <w:color w:val="FFFFFF"/>
              </w:rPr>
            </w:pPr>
            <w:r>
              <w:rPr>
                <w:color w:val="FFFFFF"/>
              </w:rPr>
              <w:t> </w:t>
            </w:r>
          </w:p>
        </w:tc>
        <w:tc>
          <w:tcPr>
            <w:tcW w:w="739" w:type="dxa"/>
            <w:tcBorders/>
            <w:vAlign w:val="center"/>
          </w:tcPr>
          <w:p>
            <w:pPr>
              <w:pStyle w:val="TableContents"/>
              <w:bidi w:val="0"/>
              <w:spacing w:before="0" w:after="0"/>
              <w:ind w:left="0" w:right="0" w:hanging="0"/>
              <w:jc w:val="right"/>
              <w:rPr>
                <w:color w:val="FFFFFF"/>
              </w:rPr>
            </w:pPr>
            <w:r>
              <w:rPr>
                <w:color w:val="FFFFFF"/>
              </w:rPr>
              <w:t>  ​</w:t>
            </w:r>
          </w:p>
        </w:tc>
        <w:tc>
          <w:tcPr>
            <w:tcW w:w="447"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pPr>
            <w:r>
              <w:rPr/>
              <w:t>  ​</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fair value of 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447"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w:t>
            </w:r>
          </w:p>
        </w:tc>
        <w:tc>
          <w:tcPr>
            <w:tcW w:w="34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447"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w:t>
            </w:r>
          </w:p>
        </w:tc>
        <w:tc>
          <w:tcPr>
            <w:tcW w:w="447"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61" w:name="_e672def4_34d3_4c8d_ad53_d4dbd827cca9"/>
      <w:bookmarkEnd w:id="761"/>
      <w:r>
        <w:rPr>
          <w:rFonts w:ascii="Times New Roman;Times;serif" w:hAnsi="Times New Roman;Times;serif"/>
          <w:b/>
          <w:sz w:val="20"/>
        </w:rPr>
        <w:t>BINAH CAPITAL GROUP, INC.</w:t>
      </w:r>
    </w:p>
    <w:p>
      <w:pPr>
        <w:pStyle w:val="TextBody"/>
        <w:bidi w:val="0"/>
        <w:spacing w:before="0" w:after="0"/>
        <w:ind w:left="0" w:right="0" w:hanging="0"/>
        <w:jc w:val="center"/>
        <w:rPr>
          <w:rFonts w:ascii="Times New Roman;Times;serif" w:hAnsi="Times New Roman;Times;serif"/>
          <w:b/>
          <w:sz w:val="20"/>
        </w:rPr>
      </w:pPr>
      <w:bookmarkStart w:id="762" w:name="CONSOLIDATEDSTATEMENTSOFCASHFLOWS_104180"/>
      <w:bookmarkEnd w:id="762"/>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 DECEMBER 31, 2025 and 2024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763" w:name="Tc_fKdhl65_QkCLdDWNaw_uBA_59_6"/>
      <w:bookmarkStart w:id="764" w:name="Tc_yd-_XcZ1406wdwdjMajxSw_59_3"/>
      <w:bookmarkStart w:id="765" w:name="Tc_z73mDH5vXEq1CVuEOzQDVw_59_0"/>
      <w:bookmarkStart w:id="766" w:name="Tc_4ceiHfW0xkGe5ziA8j2--w_57_6"/>
      <w:bookmarkStart w:id="767" w:name="Tc_wGSDW3EysEKIcso7DG55tQ_57_3"/>
      <w:bookmarkStart w:id="768" w:name="Tc__gSdHs1wCE6dG1ocXGqKcQ_57_0"/>
      <w:bookmarkStart w:id="769" w:name="Tc_A3dkesYi5EOYdt0OP1tiGQ_55_6"/>
      <w:bookmarkStart w:id="770" w:name="Tc_qNeZTzxbnkm2ywzeAeqA8A_55_3"/>
      <w:bookmarkStart w:id="771" w:name="Tc_RiQ_37rnJk2FGtLyBM9csA_55_0"/>
      <w:bookmarkStart w:id="772" w:name="Tc_bTxKn61JeEalNxrWQtm6wQ_53_0"/>
      <w:bookmarkStart w:id="773" w:name="Tc_RB-SNhrviUanoMhrgL5sIw_51_5"/>
      <w:bookmarkStart w:id="774" w:name="Tc_PJZHKH9m802ARSdnSJdGkw_51_2"/>
      <w:bookmarkStart w:id="775" w:name="Tc_uSLjMinl0UqBIZpD6MHKxA_51_0"/>
      <w:bookmarkStart w:id="776" w:name="Tc_d4ptaZSQJ0OfNqK6nKEJhQ_50_5"/>
      <w:bookmarkStart w:id="777" w:name="Tc_32XcSDjTPEypaB7dMpyhBA_50_2"/>
      <w:bookmarkStart w:id="778" w:name="Tc_n1kmmY5R6U6OHpByi5KJlQ_50_0"/>
      <w:bookmarkStart w:id="779" w:name="Tc_OOTsGr7kIEOH9x6JdAlM-Q_49_0"/>
      <w:bookmarkStart w:id="780" w:name="Tc_STcSsWJpBUy0ghaH0swRuw_47_5"/>
      <w:bookmarkStart w:id="781" w:name="Tc_yIwyqIX7TkG3M1isKVLtmw_47_2"/>
      <w:bookmarkStart w:id="782" w:name="Tc_azNsZMRVq0OifZ7H_E21Ow_47_0"/>
      <w:bookmarkStart w:id="783" w:name="Tc__TnbdfsixEi78Vrjj0hQlQ_45_5"/>
      <w:bookmarkStart w:id="784" w:name="Tc_bdr73JkoDEK2wpT-hAd3Pw_45_2"/>
      <w:bookmarkStart w:id="785" w:name="Tc_kl-hj9vPH0-IwtdUcCn4uQ_45_0"/>
      <w:bookmarkStart w:id="786" w:name="Tc_HtVHDW9kYUCmMrIe83sXPA_43_0"/>
      <w:bookmarkStart w:id="787" w:name="Tc_h46Se8RB1k68aFTnfWL8Zw_41_0"/>
      <w:bookmarkStart w:id="788" w:name="Tc_7pPy7vVSfESr0E9RRxiabQ_40_3"/>
      <w:bookmarkStart w:id="789" w:name="Tc_R6qnAzYMn0qaB0L6iRJr-w_40_0"/>
      <w:bookmarkStart w:id="790" w:name="Tc_xsbyWzUdHUeNo9PCK8sFgg_39_3"/>
      <w:bookmarkStart w:id="791" w:name="Tc_EcNFqR3dYkSLRaYkC0q1zQ_39_0"/>
      <w:bookmarkStart w:id="792" w:name="Tc_uxCR5JpsaEGyQju3Kk3qVQ_38_6"/>
      <w:bookmarkStart w:id="793" w:name="Tc_ycM4hNx-bE2esi-l_1wcrw_38_0"/>
      <w:bookmarkStart w:id="794" w:name="Tc_TDH75VtA6Ei8P-6B63qJkw_37_0"/>
      <w:bookmarkStart w:id="795" w:name="Tc__mbru09-lUydPCE-b6fQCQ_36_3"/>
      <w:bookmarkStart w:id="796" w:name="Tc_q8vngoXwqkilMO89z9kIqA_36_0"/>
      <w:bookmarkStart w:id="797" w:name="Tc_t8oN5kD2D0GBhcumSpsXyw_35_3"/>
      <w:bookmarkStart w:id="798" w:name="Tc_M8FAPTwny0Seq2U6pSGZiQ_35_0"/>
      <w:bookmarkStart w:id="799" w:name="Tc_xwh-qOQffU-iyVNpofPpCg_34_3"/>
      <w:bookmarkStart w:id="800" w:name="Tc_lCGntcSxSUCftS-gRAKOaQ_34_0"/>
      <w:bookmarkStart w:id="801" w:name="Tc_cDKE_Abbf0iPE4nZAwT_YQ_33_3"/>
      <w:bookmarkStart w:id="802" w:name="Tc_SH3-m_G040KAfz0YwGKilQ_33_0"/>
      <w:bookmarkStart w:id="803" w:name="Tc_j5mc-04S3EGiKtSMNyIp2w_32_3"/>
      <w:bookmarkStart w:id="804" w:name="Tc_BZMYSQgO_0SRuNEx2qxU2A_32_0"/>
      <w:bookmarkStart w:id="805" w:name="Tc_evwUGPul_U6cdJS8toUwvA_31_0"/>
      <w:bookmarkStart w:id="806" w:name="Tc_yNOibynclU6_wH77B6FNkA_30_3"/>
      <w:bookmarkStart w:id="807" w:name="Tc_IKGdH-bdo0uLMs00bKWfmA_30_0"/>
      <w:bookmarkStart w:id="808" w:name="Tc_kaTf25VsVEaGbS96UYdmhA_29_3"/>
      <w:bookmarkStart w:id="809" w:name="Tc_t8mfvHd_tk2FTnDZfeud6Q_29_0"/>
      <w:bookmarkStart w:id="810" w:name="Tc_vjbNOdtASkCYQqHN4BfoDw_28_0"/>
      <w:bookmarkStart w:id="811" w:name="Tc__pd8gpCTg0eMNv3TG28tPQ_26_0"/>
      <w:bookmarkStart w:id="812" w:name="Tc_5osiDj7OVUa09a5Oak8OXg_25_0"/>
      <w:bookmarkStart w:id="813" w:name="Tc_XCEJtyc36UOYbebGCHwwbQ_24_0"/>
      <w:bookmarkStart w:id="814" w:name="Tc_rSqLoKQaqES2oGy7yzYa2Q_22_0"/>
      <w:bookmarkStart w:id="815" w:name="Tc_qFGdBBZJlUSHqlUhde9o7g_21_0"/>
      <w:bookmarkStart w:id="816" w:name="Tc_T5KlqdOZFkm4aWpHtFZboQ_20_0"/>
      <w:bookmarkStart w:id="817" w:name="Tc_ynDQuLY0UEWRbeybrW2zHQ_19_0"/>
      <w:bookmarkStart w:id="818" w:name="Tc_LBHZCByjKk-EzB1w4CbZvQ_18_0"/>
      <w:bookmarkStart w:id="819" w:name="Tc__UHQAY0S80O3DyEg1PyEdA_17_0"/>
      <w:bookmarkStart w:id="820" w:name="Tc_mCboMfBPXEKxj_ZTyEBKiw_16_0"/>
      <w:bookmarkStart w:id="821" w:name="Tc_Xk8hMsxS0UugsDM0kVqH5Q_15_0"/>
      <w:bookmarkStart w:id="822" w:name="Tc_V6dLb-fuy0OfhpUa6tbNIA_14_0"/>
      <w:bookmarkStart w:id="823" w:name="Tc_g8ZiBgQkQkK0iCewiEc-XA_13_6"/>
      <w:bookmarkStart w:id="824" w:name="Tc_e5aUmW1WYkmgQu4Cp2qY2Q_13_0"/>
      <w:bookmarkStart w:id="825" w:name="Tc_vauDebpXR0mLhwCL2D0hCw_12_3"/>
      <w:bookmarkStart w:id="826" w:name="Tc_ExRUahIwGEic3G266e-z4w_12_0"/>
      <w:bookmarkStart w:id="827" w:name="Tc_eKIBnbJwl0yJT4gBP1oqDw_11_3"/>
      <w:bookmarkStart w:id="828" w:name="Tc_8dCa-e2Nm0G3uQfYYJl01w_11_0"/>
      <w:bookmarkStart w:id="829" w:name="Tc_q12iips2p0ihCps_QK0etQ_10_3"/>
      <w:bookmarkStart w:id="830" w:name="Tc_DJ1brL5AxkCaz1NpEhzbvA_10_0"/>
      <w:bookmarkStart w:id="831" w:name="Tc_4QcvYOcM1UqvzQoZMaJxSA_9_0"/>
      <w:bookmarkStart w:id="832" w:name="Tc_Id_KO18hn0e9X772ffscZg_8_0"/>
      <w:bookmarkStart w:id="833" w:name="Tc_SZMbP4w5bUePqvpcYS78tA_7_0"/>
      <w:bookmarkStart w:id="834" w:name="Tc_0DI9-tcygkacccMsKLgcJQ_6_0"/>
      <w:bookmarkStart w:id="835" w:name="Tc_Z507NoG5oU6jImgc2sWfvg_5_0"/>
      <w:bookmarkStart w:id="836" w:name="Tc_X7q4K4u7EE6lt_RBZ9XPJg_4_5"/>
      <w:bookmarkStart w:id="837" w:name="Tc_FaSsPh0uZUeQZb2IIfKC-g_4_2"/>
      <w:bookmarkStart w:id="838" w:name="Tc_IEH6ugXEc0C5pW5yEBsL3A_4_0"/>
      <w:bookmarkStart w:id="839" w:name="Tc_bVBfR0ZnokqNd9e85qmawQ_3_0"/>
      <w:bookmarkStart w:id="840" w:name="Tc_F4uVq5QOYk2D-ACkA6a-vA_2_5"/>
      <w:bookmarkStart w:id="841" w:name="Tc_s2EVabaD5kajDK9TC-aCtw_2_2"/>
      <w:bookmarkStart w:id="842" w:name="Tc_lp_5p0csz0S-GQI63_Inbg_1_2"/>
      <w:bookmarkStart w:id="843" w:name="_bd2538ef_c7cf_4b21_9d41_cca44b7a9094"/>
      <w:bookmarkStart w:id="844" w:name="Tc_fKdhl65_QkCLdDWNaw_uBA_59_6"/>
      <w:bookmarkStart w:id="845" w:name="Tc_yd-_XcZ1406wdwdjMajxSw_59_3"/>
      <w:bookmarkStart w:id="846" w:name="Tc_z73mDH5vXEq1CVuEOzQDVw_59_0"/>
      <w:bookmarkStart w:id="847" w:name="Tc_4ceiHfW0xkGe5ziA8j2--w_57_6"/>
      <w:bookmarkStart w:id="848" w:name="Tc_wGSDW3EysEKIcso7DG55tQ_57_3"/>
      <w:bookmarkStart w:id="849" w:name="Tc__gSdHs1wCE6dG1ocXGqKcQ_57_0"/>
      <w:bookmarkStart w:id="850" w:name="Tc_A3dkesYi5EOYdt0OP1tiGQ_55_6"/>
      <w:bookmarkStart w:id="851" w:name="Tc_qNeZTzxbnkm2ywzeAeqA8A_55_3"/>
      <w:bookmarkStart w:id="852" w:name="Tc_RiQ_37rnJk2FGtLyBM9csA_55_0"/>
      <w:bookmarkStart w:id="853" w:name="Tc_bTxKn61JeEalNxrWQtm6wQ_53_0"/>
      <w:bookmarkStart w:id="854" w:name="Tc_RB-SNhrviUanoMhrgL5sIw_51_5"/>
      <w:bookmarkStart w:id="855" w:name="Tc_PJZHKH9m802ARSdnSJdGkw_51_2"/>
      <w:bookmarkStart w:id="856" w:name="Tc_uSLjMinl0UqBIZpD6MHKxA_51_0"/>
      <w:bookmarkStart w:id="857" w:name="Tc_d4ptaZSQJ0OfNqK6nKEJhQ_50_5"/>
      <w:bookmarkStart w:id="858" w:name="Tc_32XcSDjTPEypaB7dMpyhBA_50_2"/>
      <w:bookmarkStart w:id="859" w:name="Tc_n1kmmY5R6U6OHpByi5KJlQ_50_0"/>
      <w:bookmarkStart w:id="860" w:name="Tc_OOTsGr7kIEOH9x6JdAlM-Q_49_0"/>
      <w:bookmarkStart w:id="861" w:name="Tc_STcSsWJpBUy0ghaH0swRuw_47_5"/>
      <w:bookmarkStart w:id="862" w:name="Tc_yIwyqIX7TkG3M1isKVLtmw_47_2"/>
      <w:bookmarkStart w:id="863" w:name="Tc_azNsZMRVq0OifZ7H_E21Ow_47_0"/>
      <w:bookmarkStart w:id="864" w:name="Tc__TnbdfsixEi78Vrjj0hQlQ_45_5"/>
      <w:bookmarkStart w:id="865" w:name="Tc_bdr73JkoDEK2wpT-hAd3Pw_45_2"/>
      <w:bookmarkStart w:id="866" w:name="Tc_kl-hj9vPH0-IwtdUcCn4uQ_45_0"/>
      <w:bookmarkStart w:id="867" w:name="Tc_HtVHDW9kYUCmMrIe83sXPA_43_0"/>
      <w:bookmarkStart w:id="868" w:name="Tc_h46Se8RB1k68aFTnfWL8Zw_41_0"/>
      <w:bookmarkStart w:id="869" w:name="Tc_7pPy7vVSfESr0E9RRxiabQ_40_3"/>
      <w:bookmarkStart w:id="870" w:name="Tc_R6qnAzYMn0qaB0L6iRJr-w_40_0"/>
      <w:bookmarkStart w:id="871" w:name="Tc_xsbyWzUdHUeNo9PCK8sFgg_39_3"/>
      <w:bookmarkStart w:id="872" w:name="Tc_EcNFqR3dYkSLRaYkC0q1zQ_39_0"/>
      <w:bookmarkStart w:id="873" w:name="Tc_uxCR5JpsaEGyQju3Kk3qVQ_38_6"/>
      <w:bookmarkStart w:id="874" w:name="Tc_ycM4hNx-bE2esi-l_1wcrw_38_0"/>
      <w:bookmarkStart w:id="875" w:name="Tc_TDH75VtA6Ei8P-6B63qJkw_37_0"/>
      <w:bookmarkStart w:id="876" w:name="Tc__mbru09-lUydPCE-b6fQCQ_36_3"/>
      <w:bookmarkStart w:id="877" w:name="Tc_q8vngoXwqkilMO89z9kIqA_36_0"/>
      <w:bookmarkStart w:id="878" w:name="Tc_t8oN5kD2D0GBhcumSpsXyw_35_3"/>
      <w:bookmarkStart w:id="879" w:name="Tc_M8FAPTwny0Seq2U6pSGZiQ_35_0"/>
      <w:bookmarkStart w:id="880" w:name="Tc_xwh-qOQffU-iyVNpofPpCg_34_3"/>
      <w:bookmarkStart w:id="881" w:name="Tc_lCGntcSxSUCftS-gRAKOaQ_34_0"/>
      <w:bookmarkStart w:id="882" w:name="Tc_cDKE_Abbf0iPE4nZAwT_YQ_33_3"/>
      <w:bookmarkStart w:id="883" w:name="Tc_SH3-m_G040KAfz0YwGKilQ_33_0"/>
      <w:bookmarkStart w:id="884" w:name="Tc_j5mc-04S3EGiKtSMNyIp2w_32_3"/>
      <w:bookmarkStart w:id="885" w:name="Tc_BZMYSQgO_0SRuNEx2qxU2A_32_0"/>
      <w:bookmarkStart w:id="886" w:name="Tc_evwUGPul_U6cdJS8toUwvA_31_0"/>
      <w:bookmarkStart w:id="887" w:name="Tc_yNOibynclU6_wH77B6FNkA_30_3"/>
      <w:bookmarkStart w:id="888" w:name="Tc_IKGdH-bdo0uLMs00bKWfmA_30_0"/>
      <w:bookmarkStart w:id="889" w:name="Tc_kaTf25VsVEaGbS96UYdmhA_29_3"/>
      <w:bookmarkStart w:id="890" w:name="Tc_t8mfvHd_tk2FTnDZfeud6Q_29_0"/>
      <w:bookmarkStart w:id="891" w:name="Tc_vjbNOdtASkCYQqHN4BfoDw_28_0"/>
      <w:bookmarkStart w:id="892" w:name="Tc__pd8gpCTg0eMNv3TG28tPQ_26_0"/>
      <w:bookmarkStart w:id="893" w:name="Tc_5osiDj7OVUa09a5Oak8OXg_25_0"/>
      <w:bookmarkStart w:id="894" w:name="Tc_XCEJtyc36UOYbebGCHwwbQ_24_0"/>
      <w:bookmarkStart w:id="895" w:name="Tc_rSqLoKQaqES2oGy7yzYa2Q_22_0"/>
      <w:bookmarkStart w:id="896" w:name="Tc_qFGdBBZJlUSHqlUhde9o7g_21_0"/>
      <w:bookmarkStart w:id="897" w:name="Tc_T5KlqdOZFkm4aWpHtFZboQ_20_0"/>
      <w:bookmarkStart w:id="898" w:name="Tc_ynDQuLY0UEWRbeybrW2zHQ_19_0"/>
      <w:bookmarkStart w:id="899" w:name="Tc_LBHZCByjKk-EzB1w4CbZvQ_18_0"/>
      <w:bookmarkStart w:id="900" w:name="Tc__UHQAY0S80O3DyEg1PyEdA_17_0"/>
      <w:bookmarkStart w:id="901" w:name="Tc_mCboMfBPXEKxj_ZTyEBKiw_16_0"/>
      <w:bookmarkStart w:id="902" w:name="Tc_Xk8hMsxS0UugsDM0kVqH5Q_15_0"/>
      <w:bookmarkStart w:id="903" w:name="Tc_V6dLb-fuy0OfhpUa6tbNIA_14_0"/>
      <w:bookmarkStart w:id="904" w:name="Tc_g8ZiBgQkQkK0iCewiEc-XA_13_6"/>
      <w:bookmarkStart w:id="905" w:name="Tc_e5aUmW1WYkmgQu4Cp2qY2Q_13_0"/>
      <w:bookmarkStart w:id="906" w:name="Tc_vauDebpXR0mLhwCL2D0hCw_12_3"/>
      <w:bookmarkStart w:id="907" w:name="Tc_ExRUahIwGEic3G266e-z4w_12_0"/>
      <w:bookmarkStart w:id="908" w:name="Tc_eKIBnbJwl0yJT4gBP1oqDw_11_3"/>
      <w:bookmarkStart w:id="909" w:name="Tc_8dCa-e2Nm0G3uQfYYJl01w_11_0"/>
      <w:bookmarkStart w:id="910" w:name="Tc_q12iips2p0ihCps_QK0etQ_10_3"/>
      <w:bookmarkStart w:id="911" w:name="Tc_DJ1brL5AxkCaz1NpEhzbvA_10_0"/>
      <w:bookmarkStart w:id="912" w:name="Tc_4QcvYOcM1UqvzQoZMaJxSA_9_0"/>
      <w:bookmarkStart w:id="913" w:name="Tc_Id_KO18hn0e9X772ffscZg_8_0"/>
      <w:bookmarkStart w:id="914" w:name="Tc_SZMbP4w5bUePqvpcYS78tA_7_0"/>
      <w:bookmarkStart w:id="915" w:name="Tc_0DI9-tcygkacccMsKLgcJQ_6_0"/>
      <w:bookmarkStart w:id="916" w:name="Tc_Z507NoG5oU6jImgc2sWfvg_5_0"/>
      <w:bookmarkStart w:id="917" w:name="Tc_X7q4K4u7EE6lt_RBZ9XPJg_4_5"/>
      <w:bookmarkStart w:id="918" w:name="Tc_FaSsPh0uZUeQZb2IIfKC-g_4_2"/>
      <w:bookmarkStart w:id="919" w:name="Tc_IEH6ugXEc0C5pW5yEBsL3A_4_0"/>
      <w:bookmarkStart w:id="920" w:name="Tc_bVBfR0ZnokqNd9e85qmawQ_3_0"/>
      <w:bookmarkStart w:id="921" w:name="Tc_F4uVq5QOYk2D-ACkA6a-vA_2_5"/>
      <w:bookmarkStart w:id="922" w:name="Tc_s2EVabaD5kajDK9TC-aCtw_2_2"/>
      <w:bookmarkStart w:id="923" w:name="Tc_lp_5p0csz0S-GQI63_Inbg_1_2"/>
      <w:bookmarkStart w:id="924" w:name="_bd2538ef_c7cf_4b21_9d41_cca44b7a9094"/>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tbl>
      <w:tblPr>
        <w:tblW w:w="10205" w:type="dxa"/>
        <w:jc w:val="left"/>
        <w:tblInd w:w="0" w:type="dxa"/>
        <w:tblLayout w:type="fixed"/>
        <w:tblCellMar>
          <w:top w:w="0" w:type="dxa"/>
          <w:left w:w="0" w:type="dxa"/>
          <w:bottom w:w="0" w:type="dxa"/>
          <w:right w:w="0" w:type="dxa"/>
        </w:tblCellMar>
      </w:tblPr>
      <w:tblGrid>
        <w:gridCol w:w="7868"/>
        <w:gridCol w:w="346"/>
        <w:gridCol w:w="194"/>
        <w:gridCol w:w="558"/>
        <w:gridCol w:w="371"/>
        <w:gridCol w:w="194"/>
        <w:gridCol w:w="674"/>
      </w:tblGrid>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3190" cy="175260"/>
                      <wp:effectExtent l="0" t="0" r="0" b="0"/>
                      <wp:wrapNone/>
                      <wp:docPr id="199" name="Frame19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54330" cy="175260"/>
                      <wp:effectExtent l="0" t="0" r="0" b="0"/>
                      <wp:wrapNone/>
                      <wp:docPr id="200" name="Frame200"/>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35585" cy="175260"/>
                      <wp:effectExtent l="0" t="0" r="0" b="0"/>
                      <wp:wrapNone/>
                      <wp:docPr id="201" name="Frame20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23190" cy="175260"/>
                      <wp:effectExtent l="0" t="0" r="0" b="0"/>
                      <wp:wrapNone/>
                      <wp:docPr id="202" name="Frame202"/>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27990" cy="175260"/>
                      <wp:effectExtent l="0" t="0" r="0" b="0"/>
                      <wp:wrapNone/>
                      <wp:docPr id="203" name="Frame203"/>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the years ended December 31, </w: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71" w:type="dxa"/>
            <w:tcBorders/>
            <w:vAlign w:val="center"/>
          </w:tcPr>
          <w:p>
            <w:pPr>
              <w:pStyle w:val="TableContents"/>
              <w:bidi w:val="0"/>
              <w:spacing w:before="0" w:after="1"/>
              <w:ind w:left="0" w:right="0" w:hanging="0"/>
              <w:jc w:val="center"/>
              <w:rPr/>
            </w:pPr>
            <w:r>
              <w:rPr/>
              <w:t>  ​ ​ ​</w:t>
            </w:r>
          </w:p>
        </w:tc>
        <w:tc>
          <w:tcPr>
            <w:tcW w:w="8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pPr>
            <w:r>
              <w:rPr/>
              <w:t>  ​</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2,308</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(4,562)</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Adjustments to reconcile net income (loss) to net 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pPr>
            <w:r>
              <w:rPr/>
              <w:t>  ​</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697</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1,019</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(907)</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607</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645</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633</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602</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Capitalized interest - promissory notes- affiliates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Capitalized interest - due to members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allowance for credit losses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468</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725</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pPr>
            <w:r>
              <w:rPr/>
              <w:t>—</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Due from clearing broker</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(242)</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Commissions receivable</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(1,243)</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(978)</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(323)</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(263)</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payable and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2,647</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1,024</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Commissions payable</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1,164</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792</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(599)</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(561)</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Provided By (Used In) Operating Activities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5,151</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(617)</w:t>
            </w:r>
          </w:p>
        </w:tc>
      </w:tr>
      <w:tr>
        <w:trPr/>
        <w:tc>
          <w:tcPr>
            <w:tcW w:w="786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left"/>
              <w:rPr/>
            </w:pPr>
            <w:r>
              <w:rPr/>
              <w:t>​</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pPr>
            <w:r>
              <w:rPr/>
              <w:t>  ​</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Purchases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r>
      <w:tr>
        <w:trPr/>
        <w:tc>
          <w:tcPr>
            <w:tcW w:w="786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left"/>
              <w:rPr/>
            </w:pPr>
            <w:r>
              <w:rPr/>
              <w:t>​</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pPr>
            <w:r>
              <w:rPr/>
              <w:t>  ​</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Borrowings under note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20,300</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 of debt issuance costs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(739)</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Repayment - notes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(2,030)</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(21,467)</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Repayment of promissory notes-affiliates</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(3,445)</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Repayment of borrowings from members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(903)</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payment for reverse merger and recapitalization</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(7,863)</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Series A redeemable convertible preferred stock issuance</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14,400</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Series B convertible stock issuance</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Series A -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(724)</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(547)</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Series B - redeemable convertible preferred stock</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(106)</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exercise of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 of capital</w:t>
            </w:r>
          </w:p>
        </w:tc>
        <w:tc>
          <w:tcPr>
            <w:tcW w:w="346"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(2,860)</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1,567</w: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Net Change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2,230</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865</w: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Cash Equivalents and Restricted Cash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8,486</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7,621</w: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Cash Equivalents and Restricted Cash -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10,716</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8,486</w: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Paid During the Period for:</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4" w:type="dxa"/>
            <w:tcBorders/>
            <w:shd w:fill="CCEEFF" w:val="clear"/>
            <w:vAlign w:val="center"/>
          </w:tcPr>
          <w:p>
            <w:pPr>
              <w:pStyle w:val="TableContents"/>
              <w:bidi w:val="0"/>
              <w:spacing w:before="0" w:after="1"/>
              <w:ind w:left="0" w:right="0" w:hanging="0"/>
              <w:jc w:val="right"/>
              <w:rPr/>
            </w:pPr>
            <w:r>
              <w:rPr/>
              <w:t>  ​</w:t>
            </w:r>
          </w:p>
        </w:tc>
      </w:tr>
      <w:tr>
        <w:trPr/>
        <w:tc>
          <w:tcPr>
            <w:tcW w:w="786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1,611</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2,632</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469</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271</w: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Supplemental Disclosure of Non-Cash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left"/>
              <w:rPr/>
            </w:pPr>
            <w:r>
              <w:rPr/>
              <w:t>​</w: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During the year ended December 31, 2024 and in connection with the reverse merger and recapitalization the Company extinguished amounts related to the promissory notes-affiliates in the approximate amount of $3,800.</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pPr>
            <w:r>
              <w:rPr/>
              <w:t>—</w: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During the year ended December 31, 2024 and in connection with the reverse merger and recapitalization the Company extinguished amounts and issued stock in consideration to satisfy these obligations in the approximate amount of $4,300.</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pPr>
            <w:r>
              <w:rPr/>
              <w:t>—</w:t>
            </w:r>
          </w:p>
        </w:tc>
      </w:tr>
      <w:tr>
        <w:trPr/>
        <w:tc>
          <w:tcPr>
            <w:tcW w:w="7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r>
      <w:tr>
        <w:trPr/>
        <w:tc>
          <w:tcPr>
            <w:tcW w:w="786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 the years ended December 31, 2025 and 2024, the Company paid in-kind dividends to the Series A Redeemable Convertible Preferred Stock holder in the amounts of $721 and $547,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45"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bookmarkStart w:id="925" w:name="a1ORGANIZATIONANDNATUREOFBUSINESS_515487"/>
      <w:bookmarkEnd w:id="925"/>
      <w:r>
        <w:rPr>
          <w:rFonts w:ascii="Times New Roman;Times;serif" w:hAnsi="Times New Roman;Times;serif"/>
          <w:b/>
          <w:i w:val="false"/>
          <w:caps w:val="false"/>
          <w:smallCaps w:val="false"/>
          <w:sz w:val="20"/>
        </w:rPr>
        <w:t>1.</w:t>
      </w:r>
      <w:r>
        <w:rPr>
          <w:rFonts w:ascii="Times New Roman;Times;serif" w:hAnsi="Times New Roman;Times;serif"/>
          <w:b/>
          <w:sz w:val="20"/>
        </w:rPr>
        <w:t>ORGANIZATION AND NATURE OF BUSINESS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Binah Capital Group, Inc. (“Binah Capital”, “Holdings” or the “Company,” representing the consolidated group), is a Delaware corporation, formed on June 27, 2022 that serves as a holding company for its wholly-owned subsidiaries operating in the retail wealth management business.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Binah Capital through its wholly-owned subsidiary Wentworth Management Services LLC (dba, Binah Management Services, “BMS”) operates multiple businesses in the financial services industry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PKS Holdings, LLC (“PKSH”) maintains offices in Albany, New York, and branch offices throughout the United States of America, and includes the following entities (collectively, the “PKSH Entities”):</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Purshe Kaplan Sterling Investments, Inc. (“PKSI”), incorporated in the State of New York, is a broker-dealer registered with the Securities and Exchange Commission (“SEC”) and is a member of the Financial Industry Regulatory Authority (“FINRA”) and the Securities Investors Protection Corporation (“SIPC”).</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PKS Advisory Services, LLC (“PKSA”), a New York limited liability company, is an investment advisory firm, registered with the SEC, which provides advisory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PKS Financial Services, Inc. (dba, Binah Capital Insurance, “</w:t>
            </w:r>
            <w:r>
              <w:rPr>
                <w:rFonts w:ascii="Times New Roman;Times;serif" w:hAnsi="Times New Roman;Times;serif"/>
                <w:b/>
                <w:i/>
                <w:sz w:val="20"/>
              </w:rPr>
              <w:t>PKSF</w:t>
            </w:r>
            <w:r>
              <w:rPr>
                <w:caps w:val="false"/>
                <w:smallCaps w:val="false"/>
              </w:rPr>
              <w:t xml:space="preserve">” </w:t>
            </w:r>
            <w:r>
              <w:rPr>
                <w:rFonts w:ascii="Times New Roman;Times;serif" w:hAnsi="Times New Roman;Times;serif"/>
                <w:b w:val="false"/>
                <w:i w:val="false"/>
                <w:caps w:val="false"/>
                <w:smallCaps w:val="false"/>
                <w:sz w:val="20"/>
              </w:rPr>
              <w:t>or “</w:t>
            </w:r>
            <w:r>
              <w:rPr>
                <w:rFonts w:ascii="Times New Roman;Times;serif" w:hAnsi="Times New Roman;Times;serif"/>
                <w:b/>
                <w:i w:val="false"/>
                <w:caps w:val="false"/>
                <w:smallCaps w:val="false"/>
                <w:sz w:val="20"/>
              </w:rPr>
              <w:t>BCI</w:t>
            </w:r>
            <w:r>
              <w:rPr>
                <w:caps w:val="false"/>
                <w:smallCaps w:val="false"/>
              </w:rPr>
              <w:t>”</w:t>
            </w:r>
            <w:r>
              <w:rPr>
                <w:rFonts w:ascii="Times New Roman;Times;serif" w:hAnsi="Times New Roman;Times;serif"/>
                <w:b w:val="false"/>
                <w:i w:val="false"/>
                <w:caps w:val="false"/>
                <w:smallCaps w:val="false"/>
                <w:sz w:val="20"/>
              </w:rPr>
              <w:t>), incorporated in the State of New York, is an insurance entity providing financial services to clients.</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Representatives Indemnity Company, Inc. (“Repco”), incorporated in the British Virgin Islands, holds a general business insurance license for the purpose of providing professional liability insurance coverage for affiliated entities under WMS.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Cabot Lodge Securities LLC maintains offices and branch offices throughout the United States of America and includes the following entities (collectively, the “Cabot Entities”):</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Cabot Lodge Securities, LLC (“CLS”), a Delaware Limited Liability Company, is a broker-dealer registered with the SEC and is a member of FINRA and SIPC.</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CL Wealth Management, LLC (“CLWM”), a Virginia Limited Liability Company, is an investment advisory firm, registered with the SEC, which provides advisory services to clients.</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Wentworth Financial Partners LLC ( dba, Binah Financial Partners “</w:t>
            </w:r>
            <w:r>
              <w:rPr>
                <w:rFonts w:ascii="Times New Roman;Times;serif" w:hAnsi="Times New Roman;Times;serif"/>
                <w:b/>
                <w:i/>
                <w:sz w:val="20"/>
              </w:rPr>
              <w:t>WFP</w:t>
            </w:r>
            <w:r>
              <w:rPr>
                <w:rFonts w:ascii="Times New Roman;Times;serif" w:hAnsi="Times New Roman;Times;serif"/>
                <w:sz w:val="20"/>
              </w:rPr>
              <w:t>” or “</w:t>
            </w:r>
            <w:r>
              <w:rPr>
                <w:rFonts w:ascii="Times New Roman;Times;serif" w:hAnsi="Times New Roman;Times;serif"/>
                <w:b/>
                <w:sz w:val="20"/>
              </w:rPr>
              <w:t>BFP</w:t>
            </w:r>
            <w:r>
              <w:rPr>
                <w:rFonts w:ascii="Times New Roman;Times;serif" w:hAnsi="Times New Roman;Times;serif"/>
                <w:sz w:val="20"/>
              </w:rPr>
              <w:t>”) (f/k/a CL General Agency), a Delaware limited liability company, is an insurance entity providing financial services to clients.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 Securities, Inc. (“MSI”) maintains offices in Albany, New York and includes the following entities (collectively, the “MSI Entities”):</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MSI, (d/b/a as Broadstone Securities, Inc., “Broadstone”), incorporated in the State of Michigan, is a financial services firm, and is a broker-dealer registered with the SEC and is a member of FINRA. Subsequent to December 31, 2025, MSI legally changed its name from Michigan Securities Inc, to PKS Securities Inc.</w:t>
            </w:r>
          </w:p>
        </w:tc>
      </w:tr>
    </w:tbl>
    <w:tbl>
      <w:tblPr>
        <w:tblW w:w="8586" w:type="dxa"/>
        <w:jc w:val="left"/>
        <w:tblInd w:w="0" w:type="dxa"/>
        <w:tblLayout w:type="fixed"/>
        <w:tblCellMar>
          <w:top w:w="0" w:type="dxa"/>
          <w:left w:w="0" w:type="dxa"/>
          <w:bottom w:w="0" w:type="dxa"/>
          <w:right w:w="0" w:type="dxa"/>
        </w:tblCellMar>
      </w:tblPr>
      <w:tblGrid>
        <w:gridCol w:w="124"/>
        <w:gridCol w:w="211"/>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o</w:t>
            </w:r>
          </w:p>
        </w:tc>
        <w:tc>
          <w:tcPr>
            <w:tcW w:w="825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Insurance Audit Agency, Inc. (“IAA”), incorporated in the state of Michigan, is an insurance agency.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7, 2022, Kingswood Acquisition Corp., a Delaware corporation (“KWAC”), Binah Capital Group, Inc., a Delaware corporation and wholly-owned subsidiary of KWAC (“Holdings”), Kingswood Merger Sub, Inc., a Delaware corporation and wholly-owned subsidiary of Holdings (“Kingswood Merger Sub”), Wentworth Merger Sub, LLC, a Delaware limited liability company and a wholly-owned subsidiary of Holdings (“Wentworth Merger Sub”), and the Company, entered into an agreement and plan of merger (the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Holdings, Kingswood Merger Sub and Wentworth Merger Sub are newly formed entities that were formed for the sole purpose of entering into and consummating the transactions set forth in the Merger Agreement. Holdings is a wholly-owned direct subsidiary of KWAC. and both Kingswood Merger Sub and Wentworth Merger Sub are wholly-owned direct subsidiaries of Holdings. Pursuant to the Merger Agreement, at closing, each of the following transactions will occur in the following order: (i) Kingswood Merger Sub will merge with and into KWAC. (the “</w:t>
      </w:r>
      <w:r>
        <w:rPr>
          <w:rFonts w:ascii="Times New Roman;Times;serif" w:hAnsi="Times New Roman;Times;serif"/>
          <w:b/>
          <w:i/>
          <w:sz w:val="20"/>
        </w:rPr>
        <w:t>Kingswood Merger</w:t>
      </w:r>
      <w:r>
        <w:rPr>
          <w:rFonts w:ascii="Times New Roman;Times;serif" w:hAnsi="Times New Roman;Times;serif"/>
          <w:sz w:val="20"/>
        </w:rPr>
        <w:t>”), with KWAC surviving the Kingswood Merger as a wholly-owned subsidiary of Holdings (the “</w:t>
      </w:r>
      <w:r>
        <w:rPr>
          <w:rFonts w:ascii="Times New Roman;Times;serif" w:hAnsi="Times New Roman;Times;serif"/>
          <w:b/>
          <w:i/>
          <w:sz w:val="20"/>
        </w:rPr>
        <w:t>Kingswood Surviving Company</w:t>
      </w:r>
      <w:r>
        <w:rPr>
          <w:rFonts w:ascii="Times New Roman;Times;serif" w:hAnsi="Times New Roman;Times;serif"/>
          <w:sz w:val="20"/>
        </w:rPr>
        <w:t>”); (ii) simultaneously with the Kingswood Merger, Wentworth Merger Sub will merge with and into the Company (the “</w:t>
      </w:r>
      <w:r>
        <w:rPr>
          <w:rFonts w:ascii="Times New Roman;Times;serif" w:hAnsi="Times New Roman;Times;serif"/>
          <w:b/>
          <w:i/>
          <w:sz w:val="20"/>
        </w:rPr>
        <w:t>Wentworth Merger</w:t>
      </w:r>
      <w:r>
        <w:rPr>
          <w:rFonts w:ascii="Times New Roman;Times;serif" w:hAnsi="Times New Roman;Times;serif"/>
          <w:sz w:val="20"/>
        </w:rPr>
        <w:t>”), with the Company surviving the Wentworth Merger as a wholly-owned subsidiary of Holdings (the “</w:t>
      </w:r>
      <w:r>
        <w:rPr>
          <w:rFonts w:ascii="Times New Roman;Times;serif" w:hAnsi="Times New Roman;Times;serif"/>
          <w:b/>
          <w:i/>
          <w:sz w:val="20"/>
        </w:rPr>
        <w:t>Surviving Company</w:t>
      </w:r>
      <w:r>
        <w:rPr>
          <w:rFonts w:ascii="Times New Roman;Times;serif" w:hAnsi="Times New Roman;Times;serif"/>
          <w:sz w:val="20"/>
        </w:rPr>
        <w:t>”); and (iii) following the Wentworth Merger, Kingswood Surviving Company will acquire, and Holdings will contribute to Kingswood Surviving Company all of the common units of the Surviving Company directly held by Holdings after the Kingswood Merger (the “</w:t>
      </w:r>
      <w:r>
        <w:rPr>
          <w:rFonts w:ascii="Times New Roman;Times;serif" w:hAnsi="Times New Roman;Times;serif"/>
          <w:b/>
          <w:i/>
          <w:sz w:val="20"/>
        </w:rPr>
        <w:t>Holdings Contribution</w:t>
      </w:r>
      <w:r>
        <w:rPr>
          <w:rFonts w:ascii="Times New Roman;Times;serif" w:hAnsi="Times New Roman;Times;serif"/>
          <w:sz w:val="20"/>
        </w:rPr>
        <w:t>”), such that, following the Holdings Contribution, Surviving Company shall be a wholly-owned subsidiary of the Kingswood Surviving Company (the Kingswood Merger and the Wentworth Merger, together with the other transactions related thereto, the “</w:t>
      </w:r>
      <w:r>
        <w:rPr>
          <w:rFonts w:ascii="Times New Roman;Times;serif" w:hAnsi="Times New Roman;Times;serif"/>
          <w:b/>
          <w:i/>
          <w:sz w:val="20"/>
        </w:rPr>
        <w:t>Business Combination</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“Closing Date”), the Company consummated the transactions contemplated by that certain Agreement and Plan of Merger, dated July 7, 2022 (as amended, the “Merger Agreement” and the consummation of such contemplated transactions, the “Closing”), by and among Kingswood Acquisition Corp, a Delaware corporation (“KWAC”), Binah Capital, Kingswood Merger Sub, Inc., a Delaware corporation (“Kingswood Merger Sub”), Wentworth Merger Sub, LLC, a Delaware limited liability company (“Wentworth Merger Sub”), and BMS. Binah Capital, Kingswood Merger Sub and Wentworth Merger Sub were newly formed entities that were formed for the sole purpose of entering into and consummating the transaction set forth in the Merger Agreement. Binah Capital was a wholly-owned direct subsidiary of KWAC and both Kingswood Merger Sub and Wentworth Merger Sub were wholly-owned direct subsidiaries of Binah Capital. On the Closing Date, Kingswood Merger Sub merged with and into KWAC, with KWAC continuing as the surviving entity as a wholly-owned subsidiary of Binah Capital and Wentworth Merger Sub merged with and into BMS, with BMS continuing as the surviving entity as a wholly-owned subsidiary of Binah Capital. Following the BMS merger, KWAC acquired, and Binah Capital contributed to KWAC all of the common units of BMS directly held by Binah Capital after the BMS merger, such that, following the Binah Capital contribution, BMS became a wholly-owned subsidiary of KWAC.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legal form of the Merger pursuant to the Business Combination Agreement, the Merger is accounted for as a reverse recapitalization. Under this method of accounting, KWAC is treated as the “acquired” company for financial reporting purposes. Accordingly, for accounting purposes, the consolidated financial statements of Binah Capital represents a continuation of the consolidated financial statements of BMS with the business combination treated as the equivalent of the BMS issuing shares for the net assets of KWAC, accompanied by a recapitalization. The net assets of KWAC were stated at historical cost, with no goodwill or other intangible assets recorded. Operations prior to the business combination are those of BMS (See Note 4 – Mergers and Recapitalization).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Nasdaq Exchange Listing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26, 2024, Holdings received approval for Holding’s securities to be listed on the Nasdaq Stock Market LLC. Holdings common stock is listed on the Nasdaq Global Market and its warrants will be listed on the Nasdaq Capital Market under the symbols “BCG” and “BCGWW”,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conformity with accounting principles generally accepted in the United States of America (“GAAP”).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include the accounts of Holdings and its wholly-owned subsidiaries. Significant inter-company transactions and balances have been eliminated in consolidation.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 and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estimates include the valuation and impairment of intangible assets and deferred income taxes, allowance for credit losses,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Reportable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Management has determined that the Company operates in one segment, given the common nature of its operations, products and services, production and distribution process and regulatory environment. For additional information, see Note 25 -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For additional information see Note 5 </w:t>
      </w:r>
      <w:r>
        <w:rPr>
          <w:rFonts w:ascii="Times New Roman;Times;serif" w:hAnsi="Times New Roman;Times;serif"/>
          <w:i/>
          <w:sz w:val="20"/>
        </w:rPr>
        <w:t>- Revenues From Contracts with Customers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employees, officers and directors participate in the Company’s long-term incentive plan that provide for granting stock options, restricted stock awards, and restricted stock units. Stock options and restricted stock units generally vest in equal increments over a three-year period and expire on the tenth anniversary following the date of grant. Restricted stock awards generally vest upon grant or up to a three-year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share-based compensation for equity awards granted to employees, officers and directors as compensation and benefits expense on the consolidated statements of operations. The fair value of restricted stock awards and restricted stock units is equal to the closing price of the Company’s stock on the date of grant. Stock options are generally granted at the market price at the date of the grant, with vesting based on three years of continuous service. The fair value of the options is estimated using the Black-Sholes model. Share-based compensation is recognized over the requisite service period of the individual awards, which generally equals the vesting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makes assumptions regarding the number of restricted stock awards and restricted stock units that will be forfeited. The forfeiture assumption is ultimately adjusted to the actual forfeiture rate. As a result, changes in the forfeiture assumptions do not impact the total amount of expense ultimately recognized over the service period. Rather, different forfeiture assumptions would only impact the timing of expense recognition over the service period. See Note 15 - </w:t>
      </w:r>
      <w:r>
        <w:rPr>
          <w:rFonts w:ascii="Times New Roman;Times;serif" w:hAnsi="Times New Roman;Times;serif"/>
          <w:i/>
          <w:sz w:val="20"/>
        </w:rPr>
        <w:t>Share-Based Compensation</w:t>
      </w:r>
      <w:r>
        <w:rPr>
          <w:rFonts w:ascii="Times New Roman;Times;serif" w:hAnsi="Times New Roman;Times;serif"/>
          <w:sz w:val="20"/>
        </w:rPr>
        <w:t xml:space="preserve"> for additional information regarding share-based compensation for equity awards granted.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Cash and cash equivalents consist primarily of cash on deposit and money market funds, all of which have original maturities of three months or less.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Restricted cash represents cash held by the Company’s lender related to its credit facility. As of December 31, 2025 and 2024, restricted cash amounted to approximately $1.0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regularly maintains cash, cash equivalents and restricted cash that exceed Federal Deposit Insurance Corporation limits. The Company has not experienced any losses and does not believe it is exposed to any significant credit risk from cash.</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Receivables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Receivables, represent amounts due to the Company from its clearing broker, clients, financial institutions and others. Receivables consists of unconditional amounts due to the Company and are reported at amortized costs. All receivables are uncollateralized.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Financial Instruments – Credit Losses</w:t>
      </w:r>
      <w:r>
        <w:rPr>
          <w:rFonts w:ascii="Times New Roman;Times;serif" w:hAnsi="Times New Roman;Times;serif"/>
          <w:i/>
          <w:sz w:val="20"/>
        </w:rPr>
        <w:t>.</w:t>
      </w:r>
      <w:r>
        <w:rPr>
          <w:rFonts w:ascii="Times New Roman;Times;serif" w:hAnsi="Times New Roman;Times;serif"/>
          <w:sz w:val="20"/>
        </w:rPr>
        <w:t xml:space="preserve"> The Company accounts for estimated credit losses on financial assets measured at an amortized cost basis and certain off-balance sheet credit exposures in accordance with Financial Accounting Standards Board (“FASB”) Accounting Standards Codification (“ASC”) 326-20, </w:t>
      </w:r>
      <w:r>
        <w:rPr>
          <w:rFonts w:ascii="Times New Roman;Times;serif" w:hAnsi="Times New Roman;Times;serif"/>
          <w:i/>
          <w:sz w:val="20"/>
        </w:rPr>
        <w:t>Financial Instruments-Credit Losses</w:t>
      </w:r>
      <w:r>
        <w:rPr>
          <w:rFonts w:ascii="Times New Roman;Times;serif" w:hAnsi="Times New Roman;Times;serif"/>
          <w:sz w:val="20"/>
        </w:rPr>
        <w:t>. FASB ASC 326-20 requires the Company to estimate expected credit losses over the life of its financial assets and certain off-balance sheet exposures as of the reporting date based on relevant information about past events, current conditions, and reasonable and supportable forecasts. The Company records the estimate of expected credit losses as an allowance for credit losses. For financial assets measured at an amortized cost basis the allowance for credit losses is reported as a valuation account on the statement of financial condition that adjusts the asset’s amortized cost basis. Changes in the allowance for credit losses are reported in credit loss expense, if applicable. Management believes its risk of loss on currently recorded receivables is minimal and accordingly an allowance for credit losses has been recorded as of December 31, 2025, December 31, 2024, and January 1, 2024, in the amount of $0.7 million, $0.7 million and $0.2 million,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Property and Equipment, net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Property and equipment are recorded at cost, less accumulated depreciation and amortization. The Company depreciates its property and equipment for financial reporting purposes using the straight-line method over the estimated useful lives of the assets once the asset is placed in service, which range from 2 to 10 years. Leasehold improvements are amortized over the lesser of the useful life of the asset or the initial lease term. Expenditures for maintenance and repairs, which do not extend the economic useful life of the related assets, are charged to operations as incurred, and expenditures, which extend the useful life, are capitalized. When assets are retired, or otherwise disposed of, the costs and related accumulated depreciation or amortization are removed from the accounts and any gain or loss on disposal is recognized.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reviews property and equipment for impairment whenever events or changes in circumstances indicate the carrying amount of the assets may not be recoverable. No impairment occurred for the years ended December 31, 2025 and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Goodwill and Other Intangible Assets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Goodwill is tested annually for impairment or if certain events occur indicating that the carrying amounts may be impaired. If a qualitative assessment is used and the Company determines that the fair value of a reporting unit is more likely than not (i.e., a likelihood of more than 50%) less than its carrying amount, a quantitative impairment test will be performed. An impairment loss will be recognized if a reporting unit’s carrying amount exceeds its fair value, to the extent that it does not exceed the total carrying amount of goodwill. No impairment of goodwill was recognized for the years ended 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impairment of intangible assets recognized for the years ended December 31, 2025 and 2024. See Note 9 - </w:t>
      </w:r>
      <w:r>
        <w:rPr>
          <w:rFonts w:ascii="Times New Roman;Times;serif" w:hAnsi="Times New Roman;Times;serif"/>
          <w:i/>
          <w:sz w:val="20"/>
        </w:rPr>
        <w:t>Intangible Assets</w:t>
      </w:r>
      <w:r>
        <w:rPr>
          <w:rFonts w:ascii="Times New Roman;Times;serif" w:hAnsi="Times New Roman;Times;serif"/>
          <w:sz w:val="20"/>
        </w:rPr>
        <w:t>, for additional information regarding the Company’s intangible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Debt Issuance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Debt issuance costs are capitalized and amortized as additional interest expense over the expected term of the related debt agreement. Debt issuance costs are presented as a direct reduction from the carrying amount of the related debt liability.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its leases in accordance with FASB ASC 842- </w:t>
      </w:r>
      <w:r>
        <w:rPr>
          <w:rFonts w:ascii="Times New Roman;Times;serif" w:hAnsi="Times New Roman;Times;serif"/>
          <w:i/>
          <w:sz w:val="20"/>
        </w:rPr>
        <w:t>Leases</w:t>
      </w:r>
      <w:r>
        <w:rPr>
          <w:rFonts w:ascii="Times New Roman;Times;serif" w:hAnsi="Times New Roman;Times;serif"/>
          <w:sz w:val="20"/>
        </w:rPr>
        <w:t>. The Company is a lessee in several noncancelable operating leases for office space. The Company determines if an arrangement is a lease, or contains a lease, at inception of a contract and when the terms of an existing contract are changed. The Company recognizes a lease liability and right of use (“ROU”) asset at the commencement date of the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ROU assets.</w:t>
      </w:r>
      <w:r>
        <w:rPr>
          <w:rFonts w:ascii="Times New Roman;Times;serif" w:hAnsi="Times New Roman;Times;serif"/>
          <w:sz w:val="20"/>
        </w:rPr>
        <w:t xml:space="preserve"> A lessee’s ROU asset is measured at the commencement date at the amount of the initially measured lease liability plus any lease payments made to the lessor before or at the commencement date, minus any lease incentives received; plus any initial direct costs. Unless impaired, the ROU asset is subsequently measured throughout the lease term at the amount of the lease liability (that is, present value of the remaining lease payments), plus unamortized initial direct costs, plus (minus) any prepaid (accrued) lease payments, less the unamortized balance of lease incentives received. Lease cost for lease payments is recognized on a straight-line basis over the lease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Lease Liabilities</w:t>
      </w:r>
      <w:r>
        <w:rPr>
          <w:rFonts w:ascii="Times New Roman;Times;serif" w:hAnsi="Times New Roman;Times;serif"/>
          <w:i/>
          <w:sz w:val="20"/>
        </w:rPr>
        <w:t>.</w:t>
      </w:r>
      <w:r>
        <w:rPr>
          <w:rFonts w:ascii="Times New Roman;Times;serif" w:hAnsi="Times New Roman;Times;serif"/>
          <w:sz w:val="20"/>
        </w:rPr>
        <w:t xml:space="preserve"> A lease liability is measured based on the present value of its future lease payments. Variable payments are included in the future lease payments when those variable payments depend on an index or a rate and are measured using the index or rate at the commencement date. Lease payments, including variable payments based on an index rate, are remeasured when any of the following occur: (1) the lease is modified (and the modification is not accounted for as a separate contract), (2) certain contingencies related to the variable lease payments are resolved, or (3) there is a reassessment of any of the following: the lease term, purchase options or amounts that are probable of being owed under a residual value guarantee. The discount rate is the implicit rate if it is readily determinable; otherwise, the Company uses its incremental borrowing rate. The implicit rates of the Company’s leases are not readily determinable; accordingly, the Company uses it incremental rate based on the information available at the commencement date for each lease. The Company’s incremental borrowing rate for a lease is the rate of interest it would pay on a collateralized basis to borrow an amount equal to the lease payments under similar terms and in a similar economic environment. The Company determines its incremental borrowing rates by starting with the interest rates on its recent borrowings and other observable market rates and adjusting those rates to reflect the differences in the amount collateral and the payment terms of the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Accounting policy election for short-term leases.</w:t>
      </w:r>
      <w:r>
        <w:rPr>
          <w:rFonts w:ascii="Times New Roman;Times;serif" w:hAnsi="Times New Roman;Times;serif"/>
          <w:sz w:val="20"/>
        </w:rPr>
        <w:t xml:space="preserve"> The Company has elected, for all underlying classes of assets,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 associated with its short-term leases on a straight-line basis over the lease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See Note 12 - </w:t>
      </w:r>
      <w:r>
        <w:rPr>
          <w:rFonts w:ascii="Times New Roman;Times;serif" w:hAnsi="Times New Roman;Times;serif"/>
          <w:i/>
          <w:sz w:val="20"/>
        </w:rPr>
        <w:t>Leases</w:t>
      </w:r>
      <w:r>
        <w:rPr>
          <w:rFonts w:ascii="Times New Roman;Times;serif" w:hAnsi="Times New Roman;Times;serif"/>
          <w:sz w:val="20"/>
        </w:rPr>
        <w:t xml:space="preserve"> for additional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in accordance with Financial Accounting Standards Board (“FASB”) Accounting Standards Codification (“ASC”) 740. Income taxes are accounted for under an asset and liability approach. This process involves calculating the temporary and permanent differences between the carrying amounts of the assets and liabilities for financial reporting purposes and the amounts used for income tax purposes. The temporary differences result in deferred tax assets and liabilities, which are recorded on the consolidated balance sheet in accordance with ASC 740, which established financial accounting and reporting standards for the effects of income taxes. Deferred tax assets and liabilities are measured using enacted tax rates expected to apply to taxable income in the years in which those temporary differences are expected to be recovered or settled. The Company periodically evaluates deferred tax assets and net operating loss carryforwards to determine their recoverability based primarily on the Company’s ability to generate future taxable income. A valuation allowance may be established to reduce deferred tax assets, if it is more likely than not that all, or some portion, of such deferred tax assets will not be realized. Changes in the valuation allowance in a period are recorded through the income tax provision in the consolidated statements of operations and comprehensive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740-10 clarifies the accounting for uncertainty in income taxes recognized in an entity’s consolidated financial statements and prescribes a recognition threshold and measurement attributes for financial statement disclosure of tax positions taken or expected to be taken on an income tax return. Under ASC 740-10, the impact of an uncertain tax position on the income tax return must be recognized at the largest amount that is more-likely-than-not to be sustained upon audit by the relevant taxing authority. An uncertain tax position will not be recognized if it has less than a 50% likelihood of being sustained. Additionally, ASC 740-10 provides guidance on de-recognition, classification, interest and penalties, accounting in interim periods, disclosure, and transition.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periods prior to the Reverse Merger and Recapitalization, BMS was treated as a partnership for income tax purposes and therefore not subject to federal taxes. BMS was subject to certain state and local income taxes. Additionally, Binah Capital Corp. (fka, Kingswood Acquisition Corp.) was treated as a corporation and subject to U.S. federal income taxes, in addition to state and local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Subsequent to the Reverse Merger and Recapitalization, Binah Capital Corp., a wholly-owned subsidiary of Holdings, is the parent company of BMS. Subsequent to the Reverse Merger and Recapitalization, BMS elected to be treated as a corporation and is subject to U.S. federal income taxes, in addition to state and local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ending December 31, 2025, Holdings has elected to file a consolidated tax return which will include all subsidiaries including Binah Capital Corp., BMS, the PKSH Entities, the Cabot Entities and WEG. Therefore, these consolidated financial statements include an income tax provision for all the taxable entities. Deferred tax assets and liabilities are recognized for the future tax consequences attributable to differences between the financial statement carrying amount of existing assets and liabilities and their respective tax bases and net operating loss carryforwards.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Income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earnings per share of common stock is computed by dividing net income (loss) attributable to the Company by the weighted-average number of shares of Class A common stock outstanding during the same period. Diluted net income per share of common stock is computed by dividing net income (loss) attributable to the Company by the weighted-average number of shares of common stock outstanding adjusted to give effect to potentially dilutive securities. Potential shares of common stock consist of incremental shares issuable upon the assumed exercise of stock options and warrants and conversion of the Company’s preferred stock. Net income (loss) per share is not presented for periods prior to the Merger as such amounts would not be meaningful to users of the consolidated financial statements because the equity structure materially changed in connection with the Merger.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derivative instruments to hedge exposures to cash flow risks. The Company does not hold or issue financial instruments for speculative or trading purposes.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 xml:space="preserve">SUMMARY OF SIGNIFICANT ACCOUNTING POLICIES </w:t>
      </w:r>
      <w:r>
        <w:rPr>
          <w:rFonts w:ascii="Times New Roman;Times;serif" w:hAnsi="Times New Roman;Times;serif"/>
          <w:b/>
          <w:i/>
          <w:sz w:val="20"/>
        </w:rPr>
        <w:t>(continued)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Reverse Recapitalization, the Company has issued and has outstanding warrants. The Company evaluates the warrants, to determine if such instruments should be considered stock-based compensation, pursuant to ASC Topic 718, and if not in the scope of ASC 718, if such instruments are derivatives or contain features that qualify as embedded derivatives, pursuant to ASC Topic 480 and ASC Topic 815. The determination of whether the instrument should be classified as stock-based compensation or a derivative instrument, including whether such instruments should be recorded as liabilities or as equity, is re-assessed at the end of each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Warrants issued to non-employees (the “Non-employee Warrants”) are not classified as stock-based compensation as there is no condition of employment such that the granting of the shares does not represent compensation. The Non-employee Warrants are classified as derivative liabilities under ASC Topic 480 or ASC Topic 815. Warrants issued to non-employees are measured at fair value on recurring basis, using the market approach based upon the quoted market price of Binah Capital Group, Inc.’s warrants at the end of each reporting period.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determination of these liability amounts requires significant judgment on the part of management. See Note 19 –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2024, Financial Accounting Standards Board (“FASB”) issued Accounting Standards Update (“ASU”) 2024-03, </w:t>
      </w:r>
      <w:r>
        <w:rPr>
          <w:rFonts w:ascii="Times New Roman;Times;serif" w:hAnsi="Times New Roman;Times;serif"/>
          <w:i/>
          <w:sz w:val="20"/>
        </w:rPr>
        <w:t>Income Statement—Reporting Comprehensive Income—Expense Disaggregation Disclosures (Subtopic 220-40)</w:t>
      </w:r>
      <w:r>
        <w:rPr>
          <w:rFonts w:ascii="Times New Roman;Times;serif" w:hAnsi="Times New Roman;Times;serif"/>
          <w:sz w:val="20"/>
        </w:rPr>
        <w:t xml:space="preserve">: </w:t>
      </w:r>
      <w:r>
        <w:rPr>
          <w:rFonts w:ascii="Times New Roman;Times;serif" w:hAnsi="Times New Roman;Times;serif"/>
          <w:i/>
          <w:sz w:val="20"/>
        </w:rPr>
        <w:t>Disaggregation of Income Statement Expenses</w:t>
      </w:r>
      <w:r>
        <w:rPr>
          <w:rFonts w:ascii="Times New Roman;Times;serif" w:hAnsi="Times New Roman;Times;serif"/>
          <w:sz w:val="20"/>
        </w:rPr>
        <w:t>, which requires public business entities to disclose, in interim and annual reporting periods, additional information about 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to enhance the transparency of income tax disclosures relating to the rate reconciliation, disclosure of income taxes paid, and certain other disclosures. The ASU should be applied prospectively and is effective for annual periods beginning after December 15, 2024. The adoption did not have an impact on the Company’s financial condition or results of operations. See </w:t>
      </w:r>
      <w:r>
        <w:rPr>
          <w:rFonts w:ascii="Times New Roman;Times;serif" w:hAnsi="Times New Roman;Times;serif"/>
          <w:i/>
          <w:sz w:val="20"/>
        </w:rPr>
        <w:t>Note 17 - Income Taxes</w:t>
      </w:r>
      <w:r>
        <w:rPr>
          <w:rFonts w:ascii="Times New Roman;Times;serif" w:hAnsi="Times New Roman;Times;serif"/>
          <w:sz w:val="20"/>
        </w:rPr>
        <w:t xml:space="preserve"> for related disclosures.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Certain prior year amounts have been reclassified to conform to the current period presentation. Such reclassifications had no impact on previously reported net income (loss) or stockholders’ equity.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MERGER AND RECAPITALIZATION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consummation of the Business Combination, (i) the holders of shares of KWAC’s common stock (“</w:t>
      </w:r>
      <w:r>
        <w:rPr>
          <w:rFonts w:ascii="Times New Roman;Times;serif" w:hAnsi="Times New Roman;Times;serif"/>
          <w:b/>
          <w:i/>
          <w:sz w:val="20"/>
        </w:rPr>
        <w:t>KWAC. Common Stock</w:t>
      </w:r>
      <w:r>
        <w:rPr>
          <w:rFonts w:ascii="Times New Roman;Times;serif" w:hAnsi="Times New Roman;Times;serif"/>
          <w:sz w:val="20"/>
        </w:rPr>
        <w:t>”) issued and outstanding immediately prior to the effective time of the Business Combination (other than any redeemed shares) received one share of common stock of Holdings (“</w:t>
      </w:r>
      <w:r>
        <w:rPr>
          <w:rFonts w:ascii="Times New Roman;Times;serif" w:hAnsi="Times New Roman;Times;serif"/>
          <w:b/>
          <w:i/>
          <w:sz w:val="20"/>
        </w:rPr>
        <w:t>Holdings Common Stock</w:t>
      </w:r>
      <w:r>
        <w:rPr>
          <w:rFonts w:ascii="Times New Roman;Times;serif" w:hAnsi="Times New Roman;Times;serif"/>
          <w:sz w:val="20"/>
        </w:rPr>
        <w:t xml:space="preserve">”) in exchange for each share of KWAC Common Stock held by them, subject to adjustment as more fully described herein, (ii) 1,100,000 shares of Holdings Common Stock issued to Sponsor was placed by Holdings into an escrow account and will not be released to the Sponsor unless the dollar volume-weighted average price of Holdings Common Stock exceeds $12.00 for 20 trading days within any 30-day trading period during the </w:t>
      </w:r>
      <w:r>
        <w:rPr>
          <w:rFonts w:ascii="Times New Roman;Times;serif" w:hAnsi="Times New Roman;Times;serif"/>
          <w:b w:val="false"/>
          <w:i w:val="false"/>
          <w:caps w:val="false"/>
          <w:smallCaps w:val="false"/>
          <w:sz w:val="20"/>
        </w:rPr>
        <w:t>four-year</w:t>
      </w:r>
      <w:r>
        <w:rPr>
          <w:rFonts w:ascii="Times New Roman;Times;serif" w:hAnsi="Times New Roman;Times;serif"/>
          <w:sz w:val="20"/>
        </w:rPr>
        <w:t xml:space="preserve"> period following the consummation of the Business Combination, (iii) the holders of each whole warrant to purchase KWAC Class A Common Stock received one warrant to purchase Holdings Common Stock at an exercise price of $11.50 per share, (iv) 12 million shares of Holdings Common Stock, subject to adjustment as more fully described herein, was issued to the equity holders of BMS in proportion to their ownership interests in BMS, (v) an additional 1,100,000 shares of Holdings Common Stock was issued to certain equity holders of BMS, (vi) 3,084,450 KWAC Private Placement Warrants held by Sponsor were forfeited immediately prior to the effective time of the Business Combination, and (vii) 3,084,450 warrants to purchase Holding Common Stock at an exercise price of $11.50 per share were issued to the equity holders of BMS in proportion to their ownership interests in BMS. As a result of the Business Combination, BMS became an indirect, wholly-owned subsidiary of Holdings.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on the Closing Date, Holdings entered into a Subscription Agreement with an investor for the purchase of 1,500,000 shares of Holdings’ Series A Redeemable 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 million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Holdings applied to have the Holdings common stock and Holdings warrants listed on the Nasdaq Global Market (the “</w:t>
      </w:r>
      <w:r>
        <w:rPr>
          <w:rFonts w:ascii="Times New Roman;Times;serif" w:hAnsi="Times New Roman;Times;serif"/>
          <w:b/>
          <w:i/>
          <w:sz w:val="20"/>
        </w:rPr>
        <w:t>Nasdaq</w:t>
      </w:r>
      <w:r>
        <w:rPr>
          <w:rFonts w:ascii="Times New Roman;Times;serif" w:hAnsi="Times New Roman;Times;serif"/>
          <w:sz w:val="20"/>
        </w:rPr>
        <w:t xml:space="preserve">”) under the symbols </w:t>
      </w:r>
      <w:r>
        <w:rPr>
          <w:rFonts w:ascii="Times New Roman;Times;serif" w:hAnsi="Times New Roman;Times;serif"/>
          <w:b/>
          <w:sz w:val="20"/>
        </w:rPr>
        <w:t>BCG</w:t>
      </w:r>
      <w:r>
        <w:rPr>
          <w:rFonts w:ascii="Times New Roman;Times;serif" w:hAnsi="Times New Roman;Times;serif"/>
          <w:sz w:val="20"/>
        </w:rPr>
        <w:t xml:space="preserve"> and </w:t>
      </w:r>
      <w:r>
        <w:rPr>
          <w:rFonts w:ascii="Times New Roman;Times;serif" w:hAnsi="Times New Roman;Times;serif"/>
          <w:b/>
          <w:sz w:val="20"/>
        </w:rPr>
        <w:t>BCGWW</w:t>
      </w:r>
      <w:r>
        <w:rPr>
          <w:rFonts w:ascii="Times New Roman;Times;serif" w:hAnsi="Times New Roman;Times;serif"/>
          <w:sz w:val="20"/>
        </w:rPr>
        <w:t>, respectively. Prior to the mergers, the KWAC Class A Common Stock and KWAC Public Warrants were listed on the OTC Exchange under the symbols “KWAC” and “KWAC.WS,”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26, 2024, Holdings received approval for Holding’s securities to be listed on the Nasdaq Stock Market LLC. Holdings common stock is listed on the Nasdaq Global Market and its warrants will be listed on the Nasdaq Capital Market under the symbols “BCG” and “BCGWW”,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REVENUES FROM CONTRACTS WITH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contracts with customers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Commission revenues represent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the principal for commission revenues, as it is responsible for the execution of the clients’ purchases and sales and maintains relationships with the product sponsors. Advisors assist the Company in performing its obligations. Accordingly, total commission revenues are reported on a gross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26" w:name="Tc_5wKga1hH8EyYzUm_TVE5Nw_8_5"/>
      <w:bookmarkStart w:id="927" w:name="Tc_1IbqT2Zg50qpWOIWTEOuAA_8_2"/>
      <w:bookmarkStart w:id="928" w:name="Tc_8wn-KL-PdECD1cdFbs-4lg_8_0"/>
      <w:bookmarkStart w:id="929" w:name="Tc_BZtywxPO6EW-ih5bHLOVDg_7_0"/>
      <w:bookmarkStart w:id="930" w:name="Tc_JJ3ifYdlk0K6h4Fmo3NMOQ_6_0"/>
      <w:bookmarkStart w:id="931" w:name="Tc_oe4Qo0Hgl06zOYIWSakOJg_5_0"/>
      <w:bookmarkStart w:id="932" w:name="Tc_OWAwnTgqXUCc5pjgYW96dA_4_0"/>
      <w:bookmarkStart w:id="933" w:name="Tc_UKDAxWrgLUmeL3Z2f1YfUQ_3_5"/>
      <w:bookmarkStart w:id="934" w:name="Tc_MU_10oOZSk2PW-osFCkIzA_3_2"/>
      <w:bookmarkStart w:id="935" w:name="Tc_CEuTYrRjak-K3AKt6iSHOg_3_0"/>
      <w:bookmarkStart w:id="936" w:name="Tc_kT27XtrVk0y5LEIksvrBYg_2_5"/>
      <w:bookmarkStart w:id="937" w:name="Tc_M1QixAgRuUmZiEm5gCH6LA_2_2"/>
      <w:bookmarkStart w:id="938" w:name="Tc_DLUA7n4wk0uSQ74Wh5uNwg_2_0"/>
      <w:bookmarkStart w:id="939" w:name="Tc_27R7vX3sY0WTc7qYNR5k3A_1_2"/>
      <w:bookmarkStart w:id="940" w:name="_f170ee85_b7a4_48d5_b8d5_6e0b1fc4c60d"/>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Times New Roman;Times;serif" w:hAnsi="Times New Roman;Times;serif"/>
          <w:b/>
          <w:i w:val="false"/>
          <w:caps w:val="false"/>
          <w:smallCaps w:val="false"/>
          <w:sz w:val="20"/>
        </w:rPr>
        <w:t>5.</w:t>
      </w:r>
      <w:r>
        <w:rPr>
          <w:rFonts w:ascii="Times New Roman;Times;serif" w:hAnsi="Times New Roman;Times;serif"/>
          <w:b/>
          <w:sz w:val="20"/>
        </w:rPr>
        <w:t xml:space="preserve">REVENUES FROM CONTRACTS WITH CUSTOMERS </w:t>
      </w:r>
      <w:r>
        <w:rPr>
          <w:rFonts w:ascii="Times New Roman;Times;serif" w:hAnsi="Times New Roman;Times;serif"/>
          <w:b/>
          <w:i/>
          <w:sz w:val="20"/>
        </w:rPr>
        <w:t>(continued)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two types of commission revenue: sales-based commissions that are recognized at the point of sale on the trade date and trailing commissions that are recognized over time as earned. Sales-based commission revenues vary by investment product and are based on a percentage of an investment product’s current market value at the time of purchase. Trailing commission revenues are generally based on a percentage of the current market value of clients’ investment holdings in trail-eligible assets, and are recognized over the period during which services, such as ongoing support, are performed. As trailing commission revenues are based on the market value of clients’ investment holdings, the consideration is variable, and an estimate of the variable consideration is constrained due to dependence on unpredictable market impacts. The constraint is removed once the value of the clients’ investment holdings can be determined.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Advisory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Advisory fees represent fees charged to advisors’ clients’ accounts on the Company’s corporate advisory platform. The Company provides ongoing investment advice, brokerage and execution services on transactions, and performs administrative services for these accounts. This series of performance obligations transfers control of the services to the client over time as the services are performed. These revenues are recognized ratably over time to match the continued delivery of the performance obligations to the client over the life of the contract. The advisory revenues generated from the Company’s corporate advisory platform are based on a percentage of the market value of the eligible assets in the clients’ advisory accounts. As such, the consideration for these revenues is variable and an estimate of the variable consideration is constrained due to dependence on unpredictable market impacts on client portfolio values. The constraint is removed once the value of the clients’ investments holdings can be determined.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provides advisory services to clients on its corporate advisory platform through the advisor. The Company is the principal in these arrangements and recognizes advisory revenues on a gross basis, as the Company is responsible for satisfying the performance obligations and has control over determining the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total revenues from contracts with customers disaggregated by investment product for the years ended December 31 </w:t>
      </w:r>
      <w:r>
        <w:rPr>
          <w:rFonts w:ascii="Times New Roman;Times;serif" w:hAnsi="Times New Roman;Times;serif"/>
          <w:b/>
          <w:i/>
          <w:sz w:val="20"/>
        </w:rPr>
        <w:t>(in thousands)</w:t>
      </w:r>
      <w:r>
        <w:rPr>
          <w:rFonts w:ascii="Times New Roman;Times;serif" w:hAnsi="Times New Roman;Times;serif"/>
          <w:sz w:val="20"/>
        </w:rPr>
        <w:t>:</w:t>
      </w:r>
    </w:p>
    <w:tbl>
      <w:tblPr>
        <w:tblW w:w="7350" w:type="dxa"/>
        <w:jc w:val="left"/>
        <w:tblInd w:w="0" w:type="dxa"/>
        <w:tblLayout w:type="fixed"/>
        <w:tblCellMar>
          <w:top w:w="0" w:type="dxa"/>
          <w:left w:w="0" w:type="dxa"/>
          <w:bottom w:w="0" w:type="dxa"/>
          <w:right w:w="0" w:type="dxa"/>
        </w:tblCellMar>
      </w:tblPr>
      <w:tblGrid>
        <w:gridCol w:w="4336"/>
        <w:gridCol w:w="346"/>
        <w:gridCol w:w="231"/>
        <w:gridCol w:w="856"/>
        <w:gridCol w:w="379"/>
        <w:gridCol w:w="231"/>
        <w:gridCol w:w="97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753360" cy="175260"/>
                      <wp:effectExtent l="0" t="0" r="0" b="0"/>
                      <wp:wrapNone/>
                      <wp:docPr id="204" name="Frame204"/>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6685" cy="175260"/>
                      <wp:effectExtent l="0" t="0" r="0" b="0"/>
                      <wp:wrapNone/>
                      <wp:docPr id="206" name="Frame20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43560" cy="175260"/>
                      <wp:effectExtent l="0" t="0" r="0" b="0"/>
                      <wp:wrapNone/>
                      <wp:docPr id="207" name="Frame20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40665" cy="175260"/>
                      <wp:effectExtent l="0" t="0" r="0" b="0"/>
                      <wp:wrapNone/>
                      <wp:docPr id="208" name="Frame208"/>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6685" cy="175260"/>
                      <wp:effectExtent l="0" t="0" r="0" b="0"/>
                      <wp:wrapNone/>
                      <wp:docPr id="209" name="Frame20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16585" cy="175260"/>
                      <wp:effectExtent l="0" t="0" r="0" b="0"/>
                      <wp:wrapNone/>
                      <wp:docPr id="210" name="Frame210"/>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 From Contracts With Customers</w:t>
            </w:r>
          </w:p>
        </w:tc>
        <w:tc>
          <w:tcPr>
            <w:tcW w:w="346" w:type="dxa"/>
            <w:tcBorders/>
            <w:vAlign w:val="center"/>
          </w:tcPr>
          <w:p>
            <w:pPr>
              <w:pStyle w:val="TableContents"/>
              <w:bidi w:val="0"/>
              <w:spacing w:before="0" w:after="1"/>
              <w:ind w:left="0" w:right="0" w:hanging="0"/>
              <w:jc w:val="center"/>
              <w:rPr/>
            </w:pPr>
            <w:r>
              <w:rPr/>
              <w:t>​</w:t>
            </w:r>
          </w:p>
        </w:tc>
        <w:tc>
          <w:tcPr>
            <w:tcW w:w="10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9" w:type="dxa"/>
            <w:tcBorders/>
            <w:vAlign w:val="center"/>
          </w:tcPr>
          <w:p>
            <w:pPr>
              <w:pStyle w:val="TableContents"/>
              <w:bidi w:val="0"/>
              <w:spacing w:before="0" w:after="1"/>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106,839</w:t>
            </w:r>
          </w:p>
        </w:tc>
        <w:tc>
          <w:tcPr>
            <w:tcW w:w="37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100,434</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24,038</w:t>
            </w:r>
          </w:p>
        </w:tc>
        <w:tc>
          <w:tcPr>
            <w:tcW w:w="37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21,134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11,818</w:t>
            </w:r>
          </w:p>
        </w:tc>
        <w:tc>
          <w:tcPr>
            <w:tcW w:w="37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11,788</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10,745</w:t>
            </w:r>
          </w:p>
        </w:tc>
        <w:tc>
          <w:tcPr>
            <w:tcW w:w="37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6,096</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28,601</w:t>
            </w:r>
          </w:p>
        </w:tc>
        <w:tc>
          <w:tcPr>
            <w:tcW w:w="37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24,939</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182,041</w:t>
            </w:r>
          </w:p>
        </w:tc>
        <w:tc>
          <w:tcPr>
            <w:tcW w:w="379"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164,391</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41" w:name="Tc_R0xL5LE9iEedJ6CJroGUDw_7_5"/>
      <w:bookmarkStart w:id="942" w:name="Tc_Cl_5seMOTk2uIHv3SL-aFA_7_2"/>
      <w:bookmarkStart w:id="943" w:name="Tc_5sjy4rnZwU2DeRUkhWrADw_7_0"/>
      <w:bookmarkStart w:id="944" w:name="Tc_VTccV6nkckmGtj1Gm9IR3w_6_0"/>
      <w:bookmarkStart w:id="945" w:name="Tc_sU8m16TZ1kW1gu6HC2wbiw_5_0"/>
      <w:bookmarkStart w:id="946" w:name="Tc_Rt2HeI_v7UaOhBMkHW6jyQ_4_0"/>
      <w:bookmarkStart w:id="947" w:name="Tc_UfInOSUQakuNAP9b9b-hdA_3_0"/>
      <w:bookmarkStart w:id="948" w:name="Tc_rluxSLRHA0O1ZLRjnb8cqw_2_5"/>
      <w:bookmarkStart w:id="949" w:name="Tc_h-SwrRHIaEuX5jO0EDiYlA_2_2"/>
      <w:bookmarkStart w:id="950" w:name="Tc_2a1OPJCz8UacK71Aks_x9Q_2_0"/>
      <w:bookmarkStart w:id="951" w:name="Tc_rfqzTVATTUGKyDYf7PfbOA_1_5"/>
      <w:bookmarkStart w:id="952" w:name="Tc_CO63jVuiekq0vWqSmVQfsA_1_2"/>
      <w:bookmarkStart w:id="953" w:name="Tc_Z9dCCPVmGEG-StcxF06Onw_1_0"/>
      <w:bookmarkStart w:id="954" w:name="_54a43d62_257e_4021_be19_6da815c76ca7"/>
      <w:bookmarkStart w:id="955" w:name="Tc_hfk9noFuwkuD5hB3gS4SQg_6_5"/>
      <w:bookmarkStart w:id="956" w:name="Tc_eg6aSaxIQkGCD5W0yAtxnA_6_2"/>
      <w:bookmarkStart w:id="957" w:name="Tc_QJXon4htME2h4lywi6WMgg_6_0"/>
      <w:bookmarkStart w:id="958" w:name="Tc_aporTi6nM0OsiIWlQToR7A_5_0"/>
      <w:bookmarkStart w:id="959" w:name="Tc_yT3BiTIWIEeJygrIw6ZkTg_4_0"/>
      <w:bookmarkStart w:id="960" w:name="Tc_2QMDMSig2EWAdKGxZtPoQg_3_0"/>
      <w:bookmarkStart w:id="961" w:name="Tc_zcgf8A6YykCavspeUsJA6w_2_5"/>
      <w:bookmarkStart w:id="962" w:name="Tc_MWqyfVsevk20CWO-7vTlNw_2_2"/>
      <w:bookmarkStart w:id="963" w:name="Tc_QtC0PYlnkku0zoi3UEE37w_2_0"/>
      <w:bookmarkStart w:id="964" w:name="Tc_yhl2GY3AsU-HX5LiDyLMVg_1_5"/>
      <w:bookmarkStart w:id="965" w:name="Tc_UrTkhbA5jEWpJkrVrqUlTA_1_2"/>
      <w:bookmarkStart w:id="966" w:name="Tc_rV94073kfkSaikoCmXgzDg_1_0"/>
      <w:bookmarkStart w:id="967" w:name="_7fd9d669_6520_41c5_87f4_29f5974482d3"/>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r>
        <w:rPr>
          <w:rFonts w:ascii="Times New Roman;Times;serif" w:hAnsi="Times New Roman;Times;serif"/>
          <w:b/>
          <w:i w:val="false"/>
          <w:caps w:val="false"/>
          <w:smallCaps w:val="false"/>
          <w:sz w:val="20"/>
        </w:rPr>
        <w:t>5.</w:t>
      </w:r>
      <w:r>
        <w:rPr>
          <w:rFonts w:ascii="Times New Roman;Times;serif" w:hAnsi="Times New Roman;Times;serif"/>
          <w:b/>
          <w:sz w:val="20"/>
        </w:rPr>
        <w:t xml:space="preserve">REVENUES FROM CONTRACTS WITH CUSTOMERS </w:t>
      </w:r>
      <w:r>
        <w:rPr>
          <w:rFonts w:ascii="Times New Roman;Times;serif" w:hAnsi="Times New Roman;Times;serif"/>
          <w:b/>
          <w:i/>
          <w:sz w:val="20"/>
        </w:rPr>
        <w:t>(continued)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tables presents sales-based and trailing revenues disaggregated by product category for the years ended December 31 </w:t>
      </w:r>
      <w:r>
        <w:rPr>
          <w:rFonts w:ascii="Times New Roman;Times;serif" w:hAnsi="Times New Roman;Times;serif"/>
          <w:b/>
          <w:i/>
          <w:sz w:val="20"/>
        </w:rPr>
        <w:t>(in thousands)</w:t>
      </w:r>
      <w:r>
        <w:rPr>
          <w:rFonts w:ascii="Times New Roman;Times;serif" w:hAnsi="Times New Roman;Times;serif"/>
          <w:sz w:val="20"/>
        </w:rPr>
        <w:t>:</w:t>
      </w:r>
    </w:p>
    <w:tbl>
      <w:tblPr>
        <w:tblW w:w="6907" w:type="dxa"/>
        <w:jc w:val="left"/>
        <w:tblInd w:w="0" w:type="dxa"/>
        <w:tblLayout w:type="fixed"/>
        <w:tblCellMar>
          <w:top w:w="0" w:type="dxa"/>
          <w:left w:w="0" w:type="dxa"/>
          <w:bottom w:w="0" w:type="dxa"/>
          <w:right w:w="0" w:type="dxa"/>
        </w:tblCellMar>
      </w:tblPr>
      <w:tblGrid>
        <w:gridCol w:w="4336"/>
        <w:gridCol w:w="346"/>
        <w:gridCol w:w="211"/>
        <w:gridCol w:w="676"/>
        <w:gridCol w:w="346"/>
        <w:gridCol w:w="211"/>
        <w:gridCol w:w="7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753360" cy="175260"/>
                      <wp:effectExtent l="0" t="0" r="0" b="0"/>
                      <wp:wrapNone/>
                      <wp:docPr id="211" name="Frame211"/>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4" name="Frame2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95935" cy="175260"/>
                      <wp:effectExtent l="0" t="0" r="0" b="0"/>
                      <wp:wrapNone/>
                      <wp:docPr id="217" name="Frame2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Sales-based (Point in time)</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40,852</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commissions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11,788</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5,983</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Sales Based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62,827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tbl>
      <w:tblPr>
        <w:tblW w:w="7117" w:type="dxa"/>
        <w:jc w:val="left"/>
        <w:tblInd w:w="0" w:type="dxa"/>
        <w:tblLayout w:type="fixed"/>
        <w:tblCellMar>
          <w:top w:w="0" w:type="dxa"/>
          <w:left w:w="0" w:type="dxa"/>
          <w:bottom w:w="0" w:type="dxa"/>
          <w:right w:w="0" w:type="dxa"/>
        </w:tblCellMar>
      </w:tblPr>
      <w:tblGrid>
        <w:gridCol w:w="4336"/>
        <w:gridCol w:w="346"/>
        <w:gridCol w:w="211"/>
        <w:gridCol w:w="781"/>
        <w:gridCol w:w="346"/>
        <w:gridCol w:w="211"/>
        <w:gridCol w:w="886"/>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753360" cy="175260"/>
                      <wp:effectExtent l="0" t="0" r="0" b="0"/>
                      <wp:wrapNone/>
                      <wp:docPr id="218" name="Frame218"/>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95935" cy="175260"/>
                      <wp:effectExtent l="0" t="0" r="0" b="0"/>
                      <wp:wrapNone/>
                      <wp:docPr id="221" name="Frame2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62610" cy="175260"/>
                      <wp:effectExtent l="0" t="0" r="0" b="0"/>
                      <wp:wrapNone/>
                      <wp:docPr id="224" name="Frame2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Trailing (Over time)</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annuities and other insurance commissions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59,582</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 commissions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16,930</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Advisory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24,939</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Alternative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Trailing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101,564</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 From Contracts With Customers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164,391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Balances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timing of revenue recognition may differ from the timing of payment by the Company’s customers. The Company records a receivable when revenue is recognized prior to payment and there is an unconditional right to payment. The Company records a contract asset when the Company has recognized revenue prior to payment but the Company’s right to payment is conditional on something other than the passage of time. Alternatively, when payment precedes the provision of the related services, the Company records deferred revenues (a contract liability) until the performance obligations are satisfied. As of December 31, 2025 and 2024, the Company had receivables from contracts with customers, net of an allowance for credit losses, totaling approximately $11.1 million and $10.1 million, respectively. The opening balance of receivables from contracts with customers was approximately $8.9 million as of January 1, 2024. As of December 31, 2025, December 31, 2024, and January 1, 2024, the Company had no liabilities from contracts with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earns interest income from client margin accounts and cash equivalents. This revenue is not generated from contracts with customers. Additionally, the Company receives marketing fees and sponsorship income.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68" w:name="Tc_KlOug2fHFUWwZ8BNxAtXLA_8_11"/>
      <w:bookmarkStart w:id="969" w:name="Tc_n-VnMVJEk06kI8OERRp0qg_8_8"/>
      <w:bookmarkStart w:id="970" w:name="Tc_KJcr0SbNmkOG1rFyg0br1A_8_5"/>
      <w:bookmarkStart w:id="971" w:name="Tc_gTbmjWaOEEW6Of_7ur1taA_8_2"/>
      <w:bookmarkStart w:id="972" w:name="Tc_riSfrSQ7SkyTLGGNo7YNAA_8_0"/>
      <w:bookmarkStart w:id="973" w:name="Tc_RjE9gurdx0iKnacUZESTxw_7_0"/>
      <w:bookmarkStart w:id="974" w:name="Tc_41uSqQiyRUuYo6rDcnWclg_6_0"/>
      <w:bookmarkStart w:id="975" w:name="Tc_ZhQ3M7HgPEmYf76SqFe5PQ_5_11"/>
      <w:bookmarkStart w:id="976" w:name="Tc_A9i0BQvnz0SxsCSaDbx5Jw_5_8"/>
      <w:bookmarkStart w:id="977" w:name="Tc_vXYfmEgDA0mAggpJtWlSug_5_5"/>
      <w:bookmarkStart w:id="978" w:name="Tc_xtjcNjSIGU-dLXPMKxCeLQ_5_2"/>
      <w:bookmarkStart w:id="979" w:name="Tc__ardKpHY70iHIXZzFe4nLQ_5_0"/>
      <w:bookmarkStart w:id="980" w:name="Tc_t3QQVD_4oUWsq9nNp700cQ_4_11"/>
      <w:bookmarkStart w:id="981" w:name="Tc_WP4cI3Se3EexBRhY--9R9g_4_8"/>
      <w:bookmarkStart w:id="982" w:name="Tc_ECH7ByXcVE2ugp1O2MAV1g_4_5"/>
      <w:bookmarkStart w:id="983" w:name="Tc_zmYLbN1D1UCmA6U3jvKBoA_4_2"/>
      <w:bookmarkStart w:id="984" w:name="Tc_TB6aHfdU20qYbQXt03ucMw_4_0"/>
      <w:bookmarkStart w:id="985" w:name="Tc_hFMAgAnkHkyK2lbgM8A8GA_3_11"/>
      <w:bookmarkStart w:id="986" w:name="Tc_v_aqLkevzEedOfu07AbPzw_3_8"/>
      <w:bookmarkStart w:id="987" w:name="Tc_d1r2gWorl02BS91A8BIR8Q_3_5"/>
      <w:bookmarkStart w:id="988" w:name="Tc_TkzDsnyWKkiskLgRrzoy6Q_3_2"/>
      <w:bookmarkStart w:id="989" w:name="Tc_zYxIzfudWU-IHTkvJnxZxQ_2_11"/>
      <w:bookmarkStart w:id="990" w:name="Tc_hL2aJPtIW0u63VQ8TT4Ojg_2_5"/>
      <w:bookmarkStart w:id="991" w:name="Tc_DiHxIGzvjU2OxiiZKBi8zQ_1_8"/>
      <w:bookmarkStart w:id="992" w:name="Tc_wGi0re3qMEuQQDpiUn6mMA_1_2"/>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Times New Roman;Times;serif" w:hAnsi="Times New Roman;Times;serif"/>
          <w:b/>
          <w:i w:val="false"/>
          <w:caps w:val="false"/>
          <w:smallCaps w:val="false"/>
          <w:sz w:val="20"/>
        </w:rPr>
        <w:t>6.</w:t>
      </w:r>
      <w:r>
        <w:rPr>
          <w:rFonts w:ascii="Times New Roman;Times;serif" w:hAnsi="Times New Roman;Times;serif"/>
          <w:b/>
          <w:sz w:val="20"/>
        </w:rPr>
        <w:t>DUE FROM CLEARING BROKER AND CLEARING DEPOSIT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PKSI, CLS and WEG clear customer transactions through a clearing broker and, therefore, they operate pursuant to exemptions contained in Rule 15c3-3 of the Securities and Exchange Act of 1934. As of December 31, 2025 and 2024, clearing deposits, which are included in other assets on the consolidated statements of financial condition and receivables due from clearing brokers were as follows </w:t>
      </w:r>
      <w:r>
        <w:rPr>
          <w:rFonts w:ascii="Times New Roman;Times;serif" w:hAnsi="Times New Roman;Times;serif"/>
          <w:b/>
          <w:i/>
          <w:sz w:val="20"/>
        </w:rPr>
        <w:t>(in thousands)</w:t>
      </w:r>
      <w:r>
        <w:rPr>
          <w:rFonts w:ascii="Times New Roman;Times;serif" w:hAnsi="Times New Roman;Times;serif"/>
          <w:sz w:val="20"/>
        </w:rPr>
        <w:t>:</w:t>
      </w:r>
    </w:p>
    <w:p>
      <w:pPr>
        <w:pStyle w:val="TextBody"/>
        <w:bidi w:val="0"/>
        <w:spacing w:before="0" w:after="0"/>
        <w:ind w:left="0" w:right="0" w:hanging="0"/>
        <w:jc w:val="left"/>
        <w:rPr/>
      </w:pPr>
      <w:r>
        <w:rPr/>
        <w:t>​</w:t>
      </w:r>
    </w:p>
    <w:tbl>
      <w:tblPr>
        <w:tblW w:w="5064" w:type="dxa"/>
        <w:jc w:val="left"/>
        <w:tblInd w:w="0" w:type="dxa"/>
        <w:tblLayout w:type="fixed"/>
        <w:tblCellMar>
          <w:top w:w="0" w:type="dxa"/>
          <w:left w:w="0" w:type="dxa"/>
          <w:bottom w:w="0" w:type="dxa"/>
          <w:right w:w="0" w:type="dxa"/>
        </w:tblCellMar>
      </w:tblPr>
      <w:tblGrid>
        <w:gridCol w:w="571"/>
        <w:gridCol w:w="346"/>
        <w:gridCol w:w="245"/>
        <w:gridCol w:w="491"/>
        <w:gridCol w:w="346"/>
        <w:gridCol w:w="265"/>
        <w:gridCol w:w="531"/>
        <w:gridCol w:w="346"/>
        <w:gridCol w:w="245"/>
        <w:gridCol w:w="491"/>
        <w:gridCol w:w="346"/>
        <w:gridCol w:w="240"/>
        <w:gridCol w:w="601"/>
      </w:tblGrid>
      <w:tr>
        <w:trPr/>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62585" cy="175260"/>
                      <wp:effectExtent l="0" t="0" r="0" b="0"/>
                      <wp:wrapNone/>
                      <wp:docPr id="225" name="Frame2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55575" cy="175260"/>
                      <wp:effectExtent l="0" t="0" r="0" b="0"/>
                      <wp:wrapNone/>
                      <wp:docPr id="227" name="Frame227"/>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11785" cy="175260"/>
                      <wp:effectExtent l="0" t="0" r="0" b="0"/>
                      <wp:wrapNone/>
                      <wp:docPr id="228" name="Frame228"/>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8275" cy="175260"/>
                      <wp:effectExtent l="0" t="0" r="0" b="0"/>
                      <wp:wrapNone/>
                      <wp:docPr id="230" name="Frame23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37185" cy="175260"/>
                      <wp:effectExtent l="0" t="0" r="0" b="0"/>
                      <wp:wrapNone/>
                      <wp:docPr id="231" name="Frame231"/>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5575" cy="175260"/>
                      <wp:effectExtent l="0" t="0" r="0" b="0"/>
                      <wp:wrapNone/>
                      <wp:docPr id="233" name="Frame23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11785" cy="175260"/>
                      <wp:effectExtent l="0" t="0" r="0" b="0"/>
                      <wp:wrapNone/>
                      <wp:docPr id="234" name="Frame234"/>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52400" cy="175260"/>
                      <wp:effectExtent l="0" t="0" r="0" b="0"/>
                      <wp:wrapNone/>
                      <wp:docPr id="236" name="Frame23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81635" cy="175260"/>
                      <wp:effectExtent l="0" t="0" r="0" b="0"/>
                      <wp:wrapNone/>
                      <wp:docPr id="237" name="Frame23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8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9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45" w:type="dxa"/>
            <w:tcBorders/>
            <w:vAlign w:val="center"/>
          </w:tcPr>
          <w:p>
            <w:pPr>
              <w:pStyle w:val="TableContents"/>
              <w:bidi w:val="0"/>
              <w:spacing w:before="0" w:after="1"/>
              <w:ind w:left="0" w:right="0" w:hanging="0"/>
              <w:jc w:val="center"/>
              <w:rPr/>
            </w:pPr>
            <w:r>
              <w:rPr/>
              <w:t>​</w:t>
            </w:r>
          </w:p>
        </w:tc>
        <w:tc>
          <w:tcPr>
            <w:tcW w:w="4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from</w:t>
            </w:r>
          </w:p>
        </w:tc>
        <w:tc>
          <w:tcPr>
            <w:tcW w:w="346" w:type="dxa"/>
            <w:tcBorders/>
            <w:vAlign w:val="center"/>
          </w:tcPr>
          <w:p>
            <w:pPr>
              <w:pStyle w:val="TableContents"/>
              <w:bidi w:val="0"/>
              <w:spacing w:before="0" w:after="1"/>
              <w:ind w:left="0" w:right="0" w:hanging="0"/>
              <w:jc w:val="center"/>
              <w:rPr/>
            </w:pPr>
            <w:r>
              <w:rPr/>
              <w:t>  ​ ​ ​</w:t>
            </w:r>
          </w:p>
        </w:tc>
        <w:tc>
          <w:tcPr>
            <w:tcW w:w="245" w:type="dxa"/>
            <w:tcBorders/>
            <w:vAlign w:val="center"/>
          </w:tcPr>
          <w:p>
            <w:pPr>
              <w:pStyle w:val="TableContents"/>
              <w:bidi w:val="0"/>
              <w:spacing w:before="0" w:after="1"/>
              <w:ind w:left="0" w:right="0" w:hanging="0"/>
              <w:jc w:val="center"/>
              <w:rPr/>
            </w:pPr>
            <w:r>
              <w:rPr/>
              <w:t>​</w:t>
            </w:r>
          </w:p>
        </w:tc>
        <w:tc>
          <w:tcPr>
            <w:tcW w:w="4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from</w:t>
            </w:r>
          </w:p>
        </w:tc>
      </w:tr>
      <w:tr>
        <w:trPr/>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Clearing</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Clearing</w:t>
            </w:r>
          </w:p>
        </w:tc>
        <w:tc>
          <w:tcPr>
            <w:tcW w:w="346" w:type="dxa"/>
            <w:tcBorders/>
            <w:vAlign w:val="center"/>
          </w:tcPr>
          <w:p>
            <w:pPr>
              <w:pStyle w:val="TableContents"/>
              <w:bidi w:val="0"/>
              <w:spacing w:before="0" w:after="1"/>
              <w:ind w:left="0" w:right="0" w:hanging="0"/>
              <w:jc w:val="center"/>
              <w:rPr/>
            </w:pPr>
            <w:r>
              <w:rPr/>
              <w:t>​</w:t>
            </w:r>
          </w:p>
        </w:tc>
        <w:tc>
          <w:tcPr>
            <w:tcW w:w="7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Clearing</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Clearing</w:t>
            </w:r>
          </w:p>
        </w:tc>
      </w:tr>
      <w:tr>
        <w:trPr/>
        <w:tc>
          <w:tcPr>
            <w:tcW w:w="5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Entity</w:t>
            </w:r>
          </w:p>
        </w:tc>
        <w:tc>
          <w:tcPr>
            <w:tcW w:w="346" w:type="dxa"/>
            <w:tcBorders/>
            <w:vAlign w:val="center"/>
          </w:tcPr>
          <w:p>
            <w:pPr>
              <w:pStyle w:val="TableContents"/>
              <w:bidi w:val="0"/>
              <w:spacing w:before="0" w:after="1"/>
              <w:ind w:left="0" w:right="0" w:hanging="0"/>
              <w:jc w:val="left"/>
              <w:rPr/>
            </w:pPr>
            <w:r>
              <w:rPr/>
              <w:t>​</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Deposit</w:t>
            </w:r>
          </w:p>
        </w:tc>
        <w:tc>
          <w:tcPr>
            <w:tcW w:w="34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Broker</w:t>
            </w:r>
          </w:p>
        </w:tc>
        <w:tc>
          <w:tcPr>
            <w:tcW w:w="346" w:type="dxa"/>
            <w:tcBorders/>
            <w:vAlign w:val="center"/>
          </w:tcPr>
          <w:p>
            <w:pPr>
              <w:pStyle w:val="TableContents"/>
              <w:bidi w:val="0"/>
              <w:spacing w:before="0" w:after="1"/>
              <w:ind w:left="0" w:right="0" w:hanging="0"/>
              <w:jc w:val="left"/>
              <w:rPr/>
            </w:pPr>
            <w:r>
              <w:rPr/>
              <w:t>​</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Deposit</w:t>
            </w:r>
          </w:p>
        </w:tc>
        <w:tc>
          <w:tcPr>
            <w:tcW w:w="346" w:type="dxa"/>
            <w:tcBorders/>
            <w:vAlign w:val="center"/>
          </w:tcPr>
          <w:p>
            <w:pPr>
              <w:pStyle w:val="TableContents"/>
              <w:bidi w:val="0"/>
              <w:spacing w:before="0" w:after="1"/>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Broker</w:t>
            </w:r>
          </w:p>
        </w:tc>
      </w:tr>
      <w:tr>
        <w:trPr/>
        <w:tc>
          <w:tcPr>
            <w:tcW w:w="5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PKSI</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before="0" w:after="1"/>
              <w:ind w:left="0" w:right="0" w:hanging="0"/>
              <w:jc w:val="righ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57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CLS</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1"/>
              <w:ind w:left="0" w:right="0" w:hanging="0"/>
              <w:jc w:val="right"/>
              <w:rPr/>
            </w:pPr>
            <w:r>
              <w:rPr/>
              <w:t>​</w:t>
            </w:r>
          </w:p>
        </w:tc>
        <w:tc>
          <w:tcPr>
            <w:tcW w:w="245" w:type="dxa"/>
            <w:tcBorders/>
            <w:vAlign w:val="center"/>
          </w:tcPr>
          <w:p>
            <w:pPr>
              <w:pStyle w:val="TableContents"/>
              <w:bidi w:val="0"/>
              <w:spacing w:before="0" w:after="1"/>
              <w:ind w:left="0" w:right="0" w:hanging="0"/>
              <w:jc w:val="left"/>
              <w:rPr/>
            </w:pPr>
            <w:r>
              <w:rPr/>
              <w:t> </w:t>
            </w:r>
          </w:p>
        </w:tc>
        <w:tc>
          <w:tcPr>
            <w:tcW w:w="4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57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WEG</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1"/>
              <w:ind w:left="0" w:right="0" w:hanging="0"/>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w:t>
            </w:r>
          </w:p>
        </w:tc>
        <w:tc>
          <w:tcPr>
            <w:tcW w:w="346" w:type="dxa"/>
            <w:tcBorders/>
            <w:vAlign w:val="center"/>
          </w:tcPr>
          <w:p>
            <w:pPr>
              <w:pStyle w:val="TableContents"/>
              <w:bidi w:val="0"/>
              <w:spacing w:before="0" w:after="1"/>
              <w:ind w:left="0" w:right="0" w:hanging="0"/>
              <w:jc w:val="righ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873</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FASB ASC 820, Fair Value Measurement</w:t>
      </w:r>
      <w:r>
        <w:rPr>
          <w:rFonts w:ascii="Times New Roman;Times;serif" w:hAnsi="Times New Roman;Times;serif"/>
          <w:sz w:val="20"/>
        </w:rPr>
        <w:t>, defines fair value as the price that would be received to sell an asset or paid to transfer a liability in an orderly transaction between market participants at the measurement date. The standard establishes the following hierarchy used in fair value measurements and expands the required disclosures of assets and liabilities measured at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use quoted unadjusted prices in active markets for identical assets or liabilities that the Company can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Fair value measurements use other inputs that are observable, either directly or indirectly. These inputs include quoted prices for similar assets and liabilities in active markets as well as other inputs such as interest rates and yield curves that are observable at commonly quoted intervals.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that are unobservable inputs, including inputs that are available in situations where there is little, if any, market activity for the related asset or liability. The inputs or methodology used for valuing assets and liabilities are not necessarily an indication of the risk associated with investing in those assets and liabilities.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financial instruments are carried at cost on the consolidated statements of financial condition, which approximates fair value due to their short-term, highly liquid nature. The carrying value of debt approximates their fair value since the interest rates on these obligations represent current market rates.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Derivatives are valued using quoted market prices for identical instruments when available or observable inputs from forward and futures yield curves. The valuation models use required observable inputs including contractual terms, market process, yield curves, credit curves and measures of volatility. Our derivatives are classified as Level 2. The counterparty to our derivative transaction is a regulated bank. Management has determined that the counterparty credit risk associated with its derivative transaction is not significant. Accordingly, the recorded fair value has not been adjusted to reflect counterparty risk.</w:t>
      </w:r>
    </w:p>
    <w:p>
      <w:pPr>
        <w:pStyle w:val="TextBody"/>
        <w:bidi w:val="0"/>
        <w:spacing w:before="0" w:after="240"/>
        <w:ind w:left="0" w:right="0" w:hanging="0"/>
        <w:jc w:val="left"/>
        <w:rPr>
          <w:rFonts w:ascii="Times New Roman;Times;serif" w:hAnsi="Times New Roman;Times;serif"/>
          <w:b/>
          <w:sz w:val="20"/>
        </w:rPr>
      </w:pPr>
      <w:bookmarkStart w:id="993" w:name="Tc_i5yQGjEOQkKy20u2aH213w_8_5"/>
      <w:bookmarkStart w:id="994" w:name="Tc_kYUy1j-tYEOZeNgd_4aulQ_8_2"/>
      <w:bookmarkStart w:id="995" w:name="Tc_Ta-d-IgR20S5WbexCVLa6A_8_0"/>
      <w:bookmarkStart w:id="996" w:name="Tc_nkVhlVYqrUKaPA7XlFybZA_7_0"/>
      <w:bookmarkStart w:id="997" w:name="Tc_90alXENsvEa5CdnU3V7oLQ_4_0"/>
      <w:bookmarkStart w:id="998" w:name="Tc_Scj1SxSATU6BCbJEwPfZiQ_3_0"/>
      <w:bookmarkStart w:id="999" w:name="Tc_nss3B0VNmEuB7UEsgWmMBg_2_5"/>
      <w:bookmarkStart w:id="1000" w:name="Tc_5AMxECieuEGp0FwA9k7xmQ_2_2"/>
      <w:bookmarkStart w:id="1001" w:name="Tc_rEWqVjSShkm_qrl1pcKnkw_2_0"/>
      <w:bookmarkStart w:id="1002" w:name="Tc_VLSmF8rKJ0KiWg_-_XtW5Q_1_5"/>
      <w:bookmarkStart w:id="1003" w:name="Tc_AQfn9SFsdUyyPvWY8jEQHg_1_2"/>
      <w:bookmarkStart w:id="1004" w:name="_a24fb280_fd8d_4e60_9d93_45f6b3c698f6"/>
      <w:bookmarkEnd w:id="993"/>
      <w:bookmarkEnd w:id="994"/>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b/>
          <w:i w:val="false"/>
          <w:caps w:val="false"/>
          <w:smallCaps w:val="false"/>
          <w:sz w:val="20"/>
        </w:rPr>
        <w:t>8.</w:t>
      </w:r>
      <w:r>
        <w:rPr>
          <w:rFonts w:ascii="Times New Roman;Times;serif" w:hAnsi="Times New Roman;Times;serif"/>
          <w:b/>
          <w:sz w:val="20"/>
        </w:rPr>
        <w:t>PROPERTY AND EQUIPMENT,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consisted of the following as of December 31 </w:t>
      </w:r>
      <w:r>
        <w:rPr>
          <w:rFonts w:ascii="Times New Roman;Times;serif" w:hAnsi="Times New Roman;Times;serif"/>
          <w:b/>
          <w:i/>
          <w:sz w:val="20"/>
        </w:rPr>
        <w:t>(in thousands)</w:t>
      </w:r>
      <w:r>
        <w:rPr>
          <w:rFonts w:ascii="Times New Roman;Times;serif" w:hAnsi="Times New Roman;Times;serif"/>
          <w:sz w:val="20"/>
        </w:rPr>
        <w:t>:</w:t>
      </w:r>
    </w:p>
    <w:tbl>
      <w:tblPr>
        <w:tblW w:w="6652" w:type="dxa"/>
        <w:jc w:val="left"/>
        <w:tblInd w:w="0" w:type="dxa"/>
        <w:tblLayout w:type="fixed"/>
        <w:tblCellMar>
          <w:top w:w="0" w:type="dxa"/>
          <w:left w:w="0" w:type="dxa"/>
          <w:bottom w:w="0" w:type="dxa"/>
          <w:right w:w="0" w:type="dxa"/>
        </w:tblCellMar>
      </w:tblPr>
      <w:tblGrid>
        <w:gridCol w:w="4111"/>
        <w:gridCol w:w="346"/>
        <w:gridCol w:w="211"/>
        <w:gridCol w:w="691"/>
        <w:gridCol w:w="346"/>
        <w:gridCol w:w="211"/>
        <w:gridCol w:w="73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610485" cy="175260"/>
                      <wp:effectExtent l="0" t="0" r="0" b="0"/>
                      <wp:wrapNone/>
                      <wp:docPr id="238" name="Frame238"/>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8785" cy="175260"/>
                      <wp:effectExtent l="0" t="0" r="0" b="0"/>
                      <wp:wrapNone/>
                      <wp:docPr id="241" name="Frame2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67360" cy="175260"/>
                      <wp:effectExtent l="0" t="0" r="0" b="0"/>
                      <wp:wrapNone/>
                      <wp:docPr id="244" name="Frame2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hardware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3,664</w:t>
            </w:r>
          </w:p>
        </w:tc>
      </w:tr>
      <w:tr>
        <w:trPr/>
        <w:tc>
          <w:tcPr>
            <w:tcW w:w="4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599</w:t>
            </w:r>
          </w:p>
        </w:tc>
      </w:tr>
    </w:tbl>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and amortization expense related to property and equipment amounted to approximately $0.3 million and $0.4 million for the years ended December 31, 2025 and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05" w:name="Tc_KIxSmS6aOU6GKHg4NHuP1g_3_2"/>
      <w:bookmarkStart w:id="1006" w:name="Tc_RRX7n36q8kq83zjx8M3PCQ_2_0"/>
      <w:bookmarkStart w:id="1007" w:name="Tc_5PyPTEQ8ZUSUuUL4bCaglQ_1_2"/>
      <w:bookmarkStart w:id="1008" w:name="Tc_n3ecOn2sQ0WYE7Suyhia0w_1_0"/>
      <w:bookmarkStart w:id="1009" w:name="_5264b071_dc9a_4818_aed2_b62a86d793e6"/>
      <w:bookmarkStart w:id="1010" w:name="Tc_qudwB364NkeulBUXJCyukg_4_11"/>
      <w:bookmarkStart w:id="1011" w:name="Tc_FVgtqXFxmEeMYslX4gInAw_4_8"/>
      <w:bookmarkStart w:id="1012" w:name="Tc_IQ2NIU67JUKF1cmnAy6ffg_4_5"/>
      <w:bookmarkStart w:id="1013" w:name="Tc_xFJ52X8Sck6U-OtPzL-Q2g_4_0"/>
      <w:bookmarkStart w:id="1014" w:name="Tc_xg8bOiF0hEqpXrmUra9Agg_3_11"/>
      <w:bookmarkStart w:id="1015" w:name="Tc_3ti8qehQs0mWJOth6ALadw_3_8"/>
      <w:bookmarkStart w:id="1016" w:name="Tc_Y-KJy1hiXUGwXNIFsZ8w6w_3_5"/>
      <w:bookmarkStart w:id="1017" w:name="Tc_oHugGhKmPE2WoWRtdebueA_3_2"/>
      <w:bookmarkStart w:id="1018" w:name="Tc_uCySey9E8kCxqEXjbeS1Tw_2_11"/>
      <w:bookmarkStart w:id="1019" w:name="Tc_PgrTKcD7rEWmzPm383cjmg_2_8"/>
      <w:bookmarkStart w:id="1020" w:name="Tc_kmEkLJsOK0K7TkaBFyBnnw_2_5"/>
      <w:bookmarkStart w:id="1021" w:name="Tc_HVV2KfFeiUK2XIlmj-M4Aw_2_2"/>
      <w:bookmarkStart w:id="1022" w:name="Tc_30_izyJwEU-QLCerArIDNw_1_5"/>
      <w:bookmarkStart w:id="1023" w:name="_9fc8b05c_f9b7_4df9_939b_5af029ccefa9"/>
      <w:bookmarkStart w:id="1024" w:name="Tc_7dndPa7-jkiIiCyrY_0mjg_4_10"/>
      <w:bookmarkStart w:id="1025" w:name="Tc_uqqwig8CjkSPAqRM0oAJdA_4_7"/>
      <w:bookmarkStart w:id="1026" w:name="Tc_sI2ir53mqkKoGCC_fh3z0w_4_4"/>
      <w:bookmarkStart w:id="1027" w:name="Tc_Et9j21buMEahCwYWTYdLbw_4_0"/>
      <w:bookmarkStart w:id="1028" w:name="Tc_x5U8RrTZE0qDB4KQGxicrA_3_10"/>
      <w:bookmarkStart w:id="1029" w:name="Tc_7vvnm4EVSk6NZGRZobKW3g_3_7"/>
      <w:bookmarkStart w:id="1030" w:name="Tc_802zfr1pOU6oa0kVqnd1rQ_3_4"/>
      <w:bookmarkStart w:id="1031" w:name="Tc_xZWL2X2hZUuDPi5LbJEAzw_3_2"/>
      <w:bookmarkStart w:id="1032" w:name="Tc_8ZFH8MEK9ki2NnV0yWcEBA_2_10"/>
      <w:bookmarkStart w:id="1033" w:name="Tc_CFoaQ0BZTEqNhqE2lcrMcg_2_7"/>
      <w:bookmarkStart w:id="1034" w:name="Tc_YkmgpbE2H0ePFnMnxKd0tA_2_4"/>
      <w:bookmarkStart w:id="1035" w:name="Tc_gA4kUUeSekeIBzXZmoBR4Q_2_2"/>
      <w:bookmarkStart w:id="1036" w:name="Tc_EqQyBHrx1EO-ZnjuXebBSw_1_4"/>
      <w:bookmarkStart w:id="1037" w:name="_1536e78e_39fc_4f62_b0cf_3190b54b1527"/>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b/>
          <w:i w:val="false"/>
          <w:caps w:val="false"/>
          <w:smallCaps w:val="false"/>
          <w:sz w:val="20"/>
        </w:rPr>
        <w:t>9.</w:t>
      </w:r>
      <w:r>
        <w:rPr>
          <w:rFonts w:ascii="Times New Roman;Times;serif" w:hAnsi="Times New Roman;Times;serif"/>
          <w:b/>
          <w:sz w:val="20"/>
        </w:rPr>
        <w:t>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components of intangible assets were as follows as of December 31, 2025 </w:t>
      </w:r>
      <w:r>
        <w:rPr>
          <w:rFonts w:ascii="Times New Roman;Times;serif" w:hAnsi="Times New Roman;Times;serif"/>
          <w:b/>
          <w:i/>
          <w:sz w:val="20"/>
        </w:rPr>
        <w:t>(in thousands)</w:t>
      </w:r>
      <w:r>
        <w:rPr>
          <w:rFonts w:ascii="Times New Roman;Times;serif" w:hAnsi="Times New Roman;Times;serif"/>
          <w:sz w:val="20"/>
        </w:rPr>
        <w:t>:</w:t>
      </w:r>
    </w:p>
    <w:tbl>
      <w:tblPr>
        <w:tblW w:w="6325" w:type="dxa"/>
        <w:jc w:val="left"/>
        <w:tblInd w:w="0" w:type="dxa"/>
        <w:tblLayout w:type="fixed"/>
        <w:tblCellMar>
          <w:top w:w="0" w:type="dxa"/>
          <w:left w:w="0" w:type="dxa"/>
          <w:bottom w:w="0" w:type="dxa"/>
          <w:right w:w="0" w:type="dxa"/>
        </w:tblCellMar>
      </w:tblPr>
      <w:tblGrid>
        <w:gridCol w:w="1066"/>
        <w:gridCol w:w="346"/>
        <w:gridCol w:w="886"/>
        <w:gridCol w:w="346"/>
        <w:gridCol w:w="211"/>
        <w:gridCol w:w="571"/>
        <w:gridCol w:w="346"/>
        <w:gridCol w:w="291"/>
        <w:gridCol w:w="790"/>
        <w:gridCol w:w="346"/>
        <w:gridCol w:w="322"/>
        <w:gridCol w:w="804"/>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76910" cy="175260"/>
                      <wp:effectExtent l="0" t="0" r="0" b="0"/>
                      <wp:wrapNone/>
                      <wp:docPr id="245" name="Frame24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62610" cy="175260"/>
                      <wp:effectExtent l="0" t="0" r="0" b="0"/>
                      <wp:wrapNone/>
                      <wp:docPr id="247" name="Frame2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62585" cy="175260"/>
                      <wp:effectExtent l="0" t="0" r="0" b="0"/>
                      <wp:wrapNone/>
                      <wp:docPr id="250" name="Frame2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84785" cy="175260"/>
                      <wp:effectExtent l="0" t="0" r="0" b="0"/>
                      <wp:wrapNone/>
                      <wp:docPr id="252" name="Frame252"/>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01650" cy="175260"/>
                      <wp:effectExtent l="0" t="0" r="0" b="0"/>
                      <wp:wrapNone/>
                      <wp:docPr id="253" name="Frame25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4470" cy="175260"/>
                      <wp:effectExtent l="0" t="0" r="0" b="0"/>
                      <wp:wrapNone/>
                      <wp:docPr id="255" name="Frame255"/>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10540" cy="175260"/>
                      <wp:effectExtent l="0" t="0" r="0" b="0"/>
                      <wp:wrapNone/>
                      <wp:docPr id="256" name="Frame256"/>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291" w:type="dxa"/>
            <w:tcBorders/>
            <w:vAlign w:val="center"/>
          </w:tcPr>
          <w:p>
            <w:pPr>
              <w:pStyle w:val="TableContents"/>
              <w:bidi w:val="0"/>
              <w:spacing w:before="0" w:after="1"/>
              <w:ind w:left="0" w:right="0" w:hanging="0"/>
              <w:jc w:val="center"/>
              <w:rPr/>
            </w:pPr>
            <w:r>
              <w:rPr/>
              <w:t>​</w:t>
            </w:r>
          </w:p>
        </w:tc>
        <w:tc>
          <w:tcPr>
            <w:tcW w:w="7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22" w:type="dxa"/>
            <w:tcBorders/>
            <w:vAlign w:val="center"/>
          </w:tcPr>
          <w:p>
            <w:pPr>
              <w:pStyle w:val="TableContents"/>
              <w:bidi w:val="0"/>
              <w:spacing w:before="0" w:after="1"/>
              <w:ind w:left="0" w:right="0" w:hanging="0"/>
              <w:jc w:val="center"/>
              <w:rPr/>
            </w:pPr>
            <w:r>
              <w:rPr/>
              <w:t>​</w:t>
            </w:r>
          </w:p>
        </w:tc>
        <w:tc>
          <w:tcPr>
            <w:tcW w:w="804"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2,829</w:t>
            </w:r>
          </w:p>
        </w:tc>
        <w:tc>
          <w:tcPr>
            <w:tcW w:w="346"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671</w:t>
            </w:r>
          </w:p>
        </w:tc>
      </w:tr>
    </w:tbl>
    <w:p>
      <w:pPr>
        <w:pStyle w:val="TextBody"/>
        <w:bidi w:val="0"/>
        <w:spacing w:before="0" w:after="24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components of intangible assets were as follows as of December 31, 2024 </w:t>
      </w:r>
      <w:r>
        <w:rPr>
          <w:rFonts w:ascii="Times New Roman;Times;serif" w:hAnsi="Times New Roman;Times;serif"/>
          <w:b/>
          <w:i/>
          <w:sz w:val="20"/>
        </w:rPr>
        <w:t>(in thousands)</w:t>
      </w:r>
      <w:r>
        <w:rPr>
          <w:rFonts w:ascii="Times New Roman;Times;serif" w:hAnsi="Times New Roman;Times;serif"/>
          <w:sz w:val="20"/>
        </w:rPr>
        <w:t>:</w:t>
      </w:r>
    </w:p>
    <w:tbl>
      <w:tblPr>
        <w:tblW w:w="6329" w:type="dxa"/>
        <w:jc w:val="left"/>
        <w:tblInd w:w="0" w:type="dxa"/>
        <w:tblLayout w:type="fixed"/>
        <w:tblCellMar>
          <w:top w:w="0" w:type="dxa"/>
          <w:left w:w="0" w:type="dxa"/>
          <w:bottom w:w="0" w:type="dxa"/>
          <w:right w:w="0" w:type="dxa"/>
        </w:tblCellMar>
      </w:tblPr>
      <w:tblGrid>
        <w:gridCol w:w="1066"/>
        <w:gridCol w:w="346"/>
        <w:gridCol w:w="109"/>
        <w:gridCol w:w="781"/>
        <w:gridCol w:w="346"/>
        <w:gridCol w:w="211"/>
        <w:gridCol w:w="571"/>
        <w:gridCol w:w="346"/>
        <w:gridCol w:w="291"/>
        <w:gridCol w:w="790"/>
        <w:gridCol w:w="346"/>
        <w:gridCol w:w="267"/>
        <w:gridCol w:w="859"/>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76910" cy="175260"/>
                      <wp:effectExtent l="0" t="0" r="0" b="0"/>
                      <wp:wrapNone/>
                      <wp:docPr id="257" name="Frame25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5935" cy="175260"/>
                      <wp:effectExtent l="0" t="0" r="0" b="0"/>
                      <wp:wrapNone/>
                      <wp:docPr id="260" name="Frame2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62585" cy="175260"/>
                      <wp:effectExtent l="0" t="0" r="0" b="0"/>
                      <wp:wrapNone/>
                      <wp:docPr id="263" name="Frame2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84785" cy="175260"/>
                      <wp:effectExtent l="0" t="0" r="0" b="0"/>
                      <wp:wrapNone/>
                      <wp:docPr id="265" name="Frame265"/>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01650" cy="175260"/>
                      <wp:effectExtent l="0" t="0" r="0" b="0"/>
                      <wp:wrapNone/>
                      <wp:docPr id="266" name="Frame266"/>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69545" cy="175260"/>
                      <wp:effectExtent l="0" t="0" r="0" b="0"/>
                      <wp:wrapNone/>
                      <wp:docPr id="268" name="Frame26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45465" cy="175260"/>
                      <wp:effectExtent l="0" t="0" r="0" b="0"/>
                      <wp:wrapNone/>
                      <wp:docPr id="269" name="Frame26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291" w:type="dxa"/>
            <w:tcBorders/>
            <w:vAlign w:val="center"/>
          </w:tcPr>
          <w:p>
            <w:pPr>
              <w:pStyle w:val="TableContents"/>
              <w:bidi w:val="0"/>
              <w:spacing w:before="0" w:after="1"/>
              <w:ind w:left="0" w:right="0" w:hanging="0"/>
              <w:jc w:val="center"/>
              <w:rPr/>
            </w:pPr>
            <w:r>
              <w:rPr/>
              <w:t>​</w:t>
            </w:r>
          </w:p>
        </w:tc>
        <w:tc>
          <w:tcPr>
            <w:tcW w:w="7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67" w:type="dxa"/>
            <w:tcBorders/>
            <w:vAlign w:val="center"/>
          </w:tcPr>
          <w:p>
            <w:pPr>
              <w:pStyle w:val="TableContents"/>
              <w:bidi w:val="0"/>
              <w:spacing w:before="0" w:after="1"/>
              <w:ind w:left="0" w:right="0" w:hanging="0"/>
              <w:jc w:val="center"/>
              <w:rPr/>
            </w:pPr>
            <w:r>
              <w:rPr/>
              <w:t>​</w:t>
            </w:r>
          </w:p>
        </w:tc>
        <w:tc>
          <w:tcPr>
            <w:tcW w:w="859"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w:t>
            </w:r>
          </w:p>
        </w:tc>
        <w:tc>
          <w:tcPr>
            <w:tcW w:w="34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2,479</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expense related to intangible assets amounted to approximately $0.6 million for the years ended December 31,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2025, the estimated future amortization expense for intangible assets is as follows </w:t>
      </w:r>
      <w:r>
        <w:rPr>
          <w:rFonts w:ascii="Times New Roman;Times;serif" w:hAnsi="Times New Roman;Times;serif"/>
          <w:b/>
          <w:i/>
          <w:sz w:val="20"/>
        </w:rPr>
        <w:t>(in thousands)</w:t>
      </w:r>
      <w:r>
        <w:rPr>
          <w:rFonts w:ascii="Times New Roman;Times;serif" w:hAnsi="Times New Roman;Times;serif"/>
          <w:sz w:val="20"/>
        </w:rPr>
        <w:t>:</w:t>
      </w:r>
    </w:p>
    <w:tbl>
      <w:tblPr>
        <w:tblW w:w="1624" w:type="dxa"/>
        <w:jc w:val="left"/>
        <w:tblInd w:w="0" w:type="dxa"/>
        <w:tblLayout w:type="fixed"/>
        <w:tblCellMar>
          <w:top w:w="0" w:type="dxa"/>
          <w:left w:w="0" w:type="dxa"/>
          <w:bottom w:w="0" w:type="dxa"/>
          <w:right w:w="0" w:type="dxa"/>
        </w:tblCellMar>
      </w:tblPr>
      <w:tblGrid>
        <w:gridCol w:w="541"/>
        <w:gridCol w:w="346"/>
        <w:gridCol w:w="211"/>
        <w:gridCol w:w="52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43535" cy="175260"/>
                      <wp:effectExtent l="0" t="0" r="0" b="0"/>
                      <wp:wrapNone/>
                      <wp:docPr id="270" name="Frame27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34010" cy="175260"/>
                      <wp:effectExtent l="0" t="0" r="0" b="0"/>
                      <wp:wrapNone/>
                      <wp:docPr id="273" name="Frame27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671</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8" w:name="_1a77ce09_0582_4bed_97c9_0b6986bd6e9d_3"/>
      <w:bookmarkStart w:id="1039" w:name="_1a77ce09_0582_4bed_97c9_0b6986bd6e9d_2"/>
      <w:bookmarkStart w:id="1040" w:name="_1a77ce09_0582_4bed_97c9_0b6986bd6e9d"/>
      <w:bookmarkEnd w:id="1038"/>
      <w:bookmarkEnd w:id="1039"/>
      <w:bookmarkEnd w:id="1040"/>
      <w:r>
        <w:rPr>
          <w:rFonts w:ascii="Times New Roman;Times;serif" w:hAnsi="Times New Roman;Times;serif"/>
          <w:b/>
          <w:i w:val="false"/>
          <w:caps w:val="false"/>
          <w:smallCaps w:val="false"/>
          <w:sz w:val="20"/>
        </w:rPr>
        <w:t>10.</w:t>
      </w:r>
      <w:r>
        <w:rPr>
          <w:rFonts w:ascii="Times New Roman;Times;serif" w:hAnsi="Times New Roman;Times;serif"/>
          <w:b/>
          <w:sz w:val="20"/>
        </w:rPr>
        <w:t>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23, 2024 (the “Credit Agreement Closing Date”), BMS entered into a Credit Agreement (the “Credit Agreement”) with Byline Bank, as lender (the “Lender”), pursuant to which the Lender agreed, at BMS’s request, to (i) make to BMS a term loan in the original principal amount of $20.3 million (the “Term Loan”), which was funded on the Credit Agreement Closing Date; (ii) make to BMS, from time to time, certain non-revolving loans (the “Non-Revolving Loans”) in an aggregate principal amount of up to $1.0 million (the “Non-Revolving Loan Commitment”), to be funded through, but excluding, the Maturity Date (as defined below); and (iii) issue to BMS, from time to time, letters of credit (the “Letters of Credit” and together with the Term Loan and Non-Revolving Loans, the “Loans”) until the earliest to occur of (x) the one year from the Credit Agreement Closing Date and (b) the date on which the Non-Revolving Loans are fully drawn. As of December 31, 2025 and December 31, 2024, the outstanding balance under the Term Loan was $17.7 million and $19.6 million, net of unamortized debt issuance costs,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(“LC Payment”). As of December 31, 2025 and 2024, there were no amounts outstanding under the Non-Revolving Loan or Letter of Credit. Subsequent to December 31, 2025, the Company entered into two Letters of Credit in the amounts of approximately $0.05 million. These Letters of Credit were issued to support two office leases. The Letters of Credit are due on demand and carry an interest rate at the same rate as the Term Loan as outlined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“Term Loan Interest Rate”); (ii) as to the Non-Revolving Loans or any reimbursement obligations relating to a Letter of Credit, at an interest rate equal to the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four percent (4.00%) per annum; and (iii) if any other obligations is created under the Loan Documents (as defined in the Credit Agreement), at the Term Loan Interest Rate. As of December 31, 2025 and 2024, the effective interest rate was 7.9% and 8.3%,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41" w:name="Tc_XxX07Ma5ZUWbL8HjxYO5HQ_5_2"/>
      <w:bookmarkStart w:id="1042" w:name="Tc_6YbBxbSp10qhn_Hev5WUFw_4_0"/>
      <w:bookmarkStart w:id="1043" w:name="Tc_Lojft8DFmEGcgzzL1tLCMA_3_0"/>
      <w:bookmarkStart w:id="1044" w:name="Tc_TmNx6msEtU63rEQ4JE__Ag_2_0"/>
      <w:bookmarkStart w:id="1045" w:name="Tc__V_XRcVbokSa13hcOaZp0Q_1_0"/>
      <w:bookmarkStart w:id="1046" w:name="_4ce60d0a_1191_4efd_b213_df8972d569c0"/>
      <w:bookmarkEnd w:id="1041"/>
      <w:bookmarkEnd w:id="1042"/>
      <w:bookmarkEnd w:id="1043"/>
      <w:bookmarkEnd w:id="1044"/>
      <w:bookmarkEnd w:id="1045"/>
      <w:bookmarkEnd w:id="1046"/>
      <w:r>
        <w:rPr>
          <w:rFonts w:ascii="Times New Roman;Times;serif" w:hAnsi="Times New Roman;Times;serif"/>
          <w:b/>
          <w:i w:val="false"/>
          <w:caps w:val="false"/>
          <w:smallCaps w:val="false"/>
          <w:sz w:val="20"/>
        </w:rPr>
        <w:t>10.</w:t>
      </w:r>
      <w:r>
        <w:rPr>
          <w:rFonts w:ascii="Times New Roman;Times;serif" w:hAnsi="Times New Roman;Times;serif"/>
          <w:b/>
          <w:sz w:val="20"/>
        </w:rPr>
        <w:t xml:space="preserve">DEBT </w:t>
      </w:r>
      <w:r>
        <w:rPr>
          <w:rFonts w:ascii="Times New Roman;Times;serif" w:hAnsi="Times New Roman;Times;serif"/>
          <w:b/>
          <w:i/>
          <w:sz w:val="20"/>
        </w:rPr>
        <w:t>(continued)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10, 2025, BMS entered into an interest rate swap agreement with a notional amount of $10 million in connection with the above-mentioned Credit Agreement. Under the terms of the swap, BMS pays a fixed rate of 3.98% plus four percent (4.00%) and receives a variable interest rate based on SOFR plus 4.00% as defined above. The swap agreement requires monthly payments to be made or received. The swap is designated as cash flow hedge of the variability of the SOFR-based interest payments on $10 million of BMS’s outstanding variable-rate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interest rate swap liability had a fair value of $0.2 million and is included in accounts payable, accrued expenses and other liabilities on the consolidated statement of financial condition. The Company has adopted the shortcut method allowing it to assume perfect hedge effectiveness. Changes in the effective portion of the swap’s fair value are recognized in other comprehensive income (loss) (“OCI”) and included on the consolidated statements of other comprehensive income (loss).The Term Loan was used by BMS to refinance Existing Credit Facilities (as defined in the Credit Agreement) and the Non-Revolving Loans must be used solely to reimburse the Lender with respect to any Letters of Credit issued to BMS.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Credit Agreement also includes customary covenants for a transaction of this type, including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minimum calendar maturities of the Term Loan as of December 31, 2025, are as follows </w:t>
      </w:r>
      <w:r>
        <w:rPr>
          <w:rFonts w:ascii="Times New Roman;Times;serif" w:hAnsi="Times New Roman;Times;serif"/>
          <w:b/>
          <w:i/>
          <w:sz w:val="20"/>
        </w:rPr>
        <w:t>(in thousands)</w:t>
      </w:r>
      <w:r>
        <w:rPr>
          <w:rFonts w:ascii="Times New Roman;Times;serif" w:hAnsi="Times New Roman;Times;serif"/>
          <w:sz w:val="20"/>
        </w:rPr>
        <w:t>:</w:t>
      </w:r>
    </w:p>
    <w:p>
      <w:pPr>
        <w:pStyle w:val="TextBody"/>
        <w:bidi w:val="0"/>
        <w:spacing w:before="0" w:after="0"/>
        <w:ind w:left="0" w:right="0" w:hanging="0"/>
        <w:jc w:val="left"/>
        <w:rPr/>
      </w:pPr>
      <w:r>
        <w:rPr/>
        <w:t>​</w:t>
      </w:r>
    </w:p>
    <w:tbl>
      <w:tblPr>
        <w:tblW w:w="1879" w:type="dxa"/>
        <w:jc w:val="left"/>
        <w:tblInd w:w="0" w:type="dxa"/>
        <w:tblLayout w:type="fixed"/>
        <w:tblCellMar>
          <w:top w:w="0" w:type="dxa"/>
          <w:left w:w="0" w:type="dxa"/>
          <w:bottom w:w="0" w:type="dxa"/>
          <w:right w:w="0" w:type="dxa"/>
        </w:tblCellMar>
      </w:tblPr>
      <w:tblGrid>
        <w:gridCol w:w="541"/>
        <w:gridCol w:w="346"/>
        <w:gridCol w:w="211"/>
        <w:gridCol w:w="78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43535" cy="175260"/>
                      <wp:effectExtent l="0" t="0" r="0" b="0"/>
                      <wp:wrapNone/>
                      <wp:docPr id="274" name="Frame27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95935" cy="175260"/>
                      <wp:effectExtent l="0" t="0" r="0" b="0"/>
                      <wp:wrapNone/>
                      <wp:docPr id="277" name="Frame2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10,149</w:t>
            </w:r>
          </w:p>
        </w:tc>
      </w:tr>
      <w:tr>
        <w:trPr/>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PROMISSORY NOTES – AFFILIATES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On November 30, 2017, WMS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restructured.</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Additionally, in connection with the acquisition of the PKSH Entities, the Company agreed to pay contingent consideration in the amount of $5.0 million to certain sellers. The conditions related to this contingency were met on November 30, 2018, and thus the notes have been issued to the sellers. These subordinated promissory notes had a maturity date of May 30, 2023, and accrued interest at a rate of 10% annually. The interest on these notes continued to accrue until such time as these notes were restructured.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closing of the Business Combination, the Company paid approximately $3.5 million on these notes. In addition to the paydown, the noteholders agreed to forgive the remaining accrued but unpaid interest of approximately $3.8 million and entered into new promissory notes in the principal amount of approximately $5.3 million in the aggregate, which remain outstanding as of December 31, 2025 and 2024. The terms of these new promissory notes provide for maturity on May 15, 2027, and carries an interest rate of Prime </w:t>
      </w:r>
      <w:r>
        <w:rPr>
          <w:rFonts w:ascii="Times New Roman;Times;serif" w:hAnsi="Times New Roman;Times;serif"/>
          <w:b w:val="false"/>
          <w:i w:val="false"/>
          <w:caps w:val="false"/>
          <w:smallCaps w:val="false"/>
          <w:sz w:val="20"/>
        </w:rPr>
        <w:t>plus</w:t>
      </w:r>
      <w:r>
        <w:rPr>
          <w:rFonts w:ascii="Times New Roman;Times;serif" w:hAnsi="Times New Roman;Times;serif"/>
          <w:sz w:val="20"/>
        </w:rPr>
        <w:t xml:space="preserve"> 1.00%, but no less </w:t>
      </w:r>
      <w:r>
        <w:rPr>
          <w:rFonts w:ascii="Times New Roman;Times;serif" w:hAnsi="Times New Roman;Times;serif"/>
          <w:b w:val="false"/>
          <w:i w:val="false"/>
          <w:caps w:val="false"/>
          <w:smallCaps w:val="false"/>
          <w:sz w:val="20"/>
        </w:rPr>
        <w:t>than</w:t>
      </w:r>
      <w:r>
        <w:rPr>
          <w:rFonts w:ascii="Times New Roman;Times;serif" w:hAnsi="Times New Roman;Times;serif"/>
          <w:sz w:val="20"/>
        </w:rPr>
        <w:t xml:space="preserve"> 7.50% per annum. Related interest was approximately $0.5 million and $0.4 million for the years ended December 31, 2025 and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bookmarkStart w:id="1047" w:name="Tc_I-eK3UKiZ0ac2fWBO5A4Sg_2_5"/>
      <w:bookmarkStart w:id="1048" w:name="Tc_iP_JqQGlJ02QuE-QAa8jjA_2_3"/>
      <w:bookmarkStart w:id="1049" w:name="Tc_gn32XDItD06tvkOCtsInsw_2_0"/>
      <w:bookmarkStart w:id="1050" w:name="Tc_1PQXrVTlQEqF59vMezecIg_1_4"/>
      <w:bookmarkStart w:id="1051" w:name="Tc_UHZrMtgjHkqi3Izdxy11FQ_1_2"/>
      <w:bookmarkStart w:id="1052" w:name="_b7756825_95d5_41b4_8028_9b9a766b180a"/>
      <w:bookmarkStart w:id="1053" w:name="Tc_sdhui3GmgEiaLtIKPBVUCQ_2_5"/>
      <w:bookmarkStart w:id="1054" w:name="Tc_Vr2axkMLJUaWDhR5l7vrLg_2_2"/>
      <w:bookmarkStart w:id="1055" w:name="Tc_1TnK-NGBMU2CyVtMwluOYA_2_0"/>
      <w:bookmarkStart w:id="1056" w:name="Tc_zlviLBBYE0q88W8XmvzTSQ_1_5"/>
      <w:bookmarkStart w:id="1057" w:name="Tc_xf1g8DUuUEOBG7RPobuBeA_1_2"/>
      <w:bookmarkStart w:id="1058" w:name="_a02e3263_b54e_45e8_ad95_c648b5e644b1"/>
      <w:bookmarkStart w:id="1059" w:name="Tc_a88YWp2yEkOPsvzHCXwPDQ_3_5"/>
      <w:bookmarkStart w:id="1060" w:name="Tc_KYuCxXnoHU-AeKBZfdgjXA_3_2"/>
      <w:bookmarkStart w:id="1061" w:name="Tc_DA3ScSPpLUmNyCRSUgYQWQ_3_0"/>
      <w:bookmarkStart w:id="1062" w:name="Tc_5kzhP_tnZUa7yLmgXWAd0A_2_5"/>
      <w:bookmarkStart w:id="1063" w:name="Tc_xMeDAZBOYUWAhqufv8FteA_2_2"/>
      <w:bookmarkStart w:id="1064" w:name="Tc_PRflmsRELU6-g0r1NFC2tg_2_0"/>
      <w:bookmarkStart w:id="1065" w:name="Tc_wgIqenawyUariB4dGzjIbw_1_5"/>
      <w:bookmarkStart w:id="1066" w:name="Tc_QUmURkRpP0SyCFsD2mGHBw_1_2"/>
      <w:bookmarkStart w:id="1067" w:name="_37216d08_604c_41f3_a232_82c2736c445d"/>
      <w:bookmarkStart w:id="1068" w:name="Tc_bB8W-wulsUiaNij0NKcB4w_4_5"/>
      <w:bookmarkStart w:id="1069" w:name="Tc_4PICmYwGm0-2fapAyTBhFw_4_2"/>
      <w:bookmarkStart w:id="1070" w:name="Tc_gsYsV-3Xv0Gi6OvJOLLXdQ_4_0"/>
      <w:bookmarkStart w:id="1071" w:name="Tc_u0g7XXwdREWEFOKo5zf8lA_3_0"/>
      <w:bookmarkStart w:id="1072" w:name="Tc_1VUoCzvSPk2ty4Sd7qfgrg_2_5"/>
      <w:bookmarkStart w:id="1073" w:name="Tc_myaX1C_OaU6da1r-EhvhKg_2_2"/>
      <w:bookmarkStart w:id="1074" w:name="Tc_-XzlHFJvZEmr-ia0qQryMw_2_0"/>
      <w:bookmarkStart w:id="1075" w:name="Tc_MfO9HHbFoEyJbW2A8rupdA_1_5"/>
      <w:bookmarkStart w:id="1076" w:name="Tc_90_WirVpIkSgGw0ftJoqYg_1_2"/>
      <w:bookmarkStart w:id="1077" w:name="_74ac0517_694d_4c07_b82b_c16074de0525"/>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Pr>
          <w:rFonts w:ascii="Times New Roman;Times;serif" w:hAnsi="Times New Roman;Times;serif"/>
          <w:b/>
          <w:i w:val="false"/>
          <w:caps w:val="false"/>
          <w:smallCaps w:val="false"/>
          <w:sz w:val="20"/>
        </w:rPr>
        <w:t>12.</w:t>
      </w:r>
      <w:r>
        <w:rPr>
          <w:rFonts w:ascii="Times New Roman;Times;serif" w:hAnsi="Times New Roman;Times;serif"/>
          <w:b/>
          <w:sz w:val="20"/>
        </w:rPr>
        <w:t>LEASES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The Company has obligations as a lessee for office space with initial noncancelable terms in excess of one year. The Company classifies these leases as operating leases. These leases generally contain renewal options for periods ranging from 2 to 10 years. Because the Company is not reasonably certain to exercise these </w:t>
      </w:r>
      <w:r>
        <w:rPr>
          <w:rFonts w:ascii="Times New Roman;Times;serif" w:hAnsi="Times New Roman;Times;serif"/>
          <w:b w:val="false"/>
          <w:i w:val="false"/>
          <w:caps w:val="false"/>
          <w:smallCaps w:val="false"/>
          <w:sz w:val="20"/>
        </w:rPr>
        <w:t>renewal options</w:t>
      </w:r>
      <w:r>
        <w:rPr>
          <w:rFonts w:ascii="Times New Roman;Times;serif" w:hAnsi="Times New Roman;Times;serif"/>
          <w:sz w:val="20"/>
        </w:rPr>
        <w:t>, the optional periods are not included in determining the lease term, and associated payments under these renewal options are excluded from lease payments used to determine the lease liability. The Company’s leases do not include termination options for either party to the lease or restrictive financial or other covenants. Payments due under the lease contracts include fixed payments plus, for many of the Company’s leases, variable payments. The Company’s office space leases require it to make variable payments for the Company’s proportionate share of the building’s property taxes, insurance, and common area maintenance. These variable lease payments are not included in lease payments used to determine lease liability and are recognized as variable costs when incurred.</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The components of lease cost for the years ended December 31, 2025 and 2024 are as follows </w:t>
      </w:r>
      <w:r>
        <w:rPr>
          <w:rFonts w:ascii="Times New Roman;Times;serif" w:hAnsi="Times New Roman;Times;serif"/>
          <w:b/>
          <w:i/>
          <w:sz w:val="20"/>
        </w:rPr>
        <w:t>(in thousands)</w:t>
      </w:r>
      <w:r>
        <w:rPr>
          <w:rFonts w:ascii="Times New Roman;Times;serif" w:hAnsi="Times New Roman;Times;serif"/>
          <w:sz w:val="20"/>
        </w:rPr>
        <w:t>:</w:t>
      </w:r>
    </w:p>
    <w:tbl>
      <w:tblPr>
        <w:tblW w:w="4117" w:type="dxa"/>
        <w:jc w:val="left"/>
        <w:tblInd w:w="0" w:type="dxa"/>
        <w:tblLayout w:type="fixed"/>
        <w:tblCellMar>
          <w:top w:w="0" w:type="dxa"/>
          <w:left w:w="0" w:type="dxa"/>
          <w:bottom w:w="0" w:type="dxa"/>
          <w:right w:w="0" w:type="dxa"/>
        </w:tblCellMar>
      </w:tblPr>
      <w:tblGrid>
        <w:gridCol w:w="1756"/>
        <w:gridCol w:w="346"/>
        <w:gridCol w:w="211"/>
        <w:gridCol w:w="571"/>
        <w:gridCol w:w="346"/>
        <w:gridCol w:w="211"/>
        <w:gridCol w:w="676"/>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115060" cy="175260"/>
                      <wp:effectExtent l="0" t="0" r="0" b="0"/>
                      <wp:wrapNone/>
                      <wp:docPr id="278" name="Frame278"/>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62585" cy="175260"/>
                      <wp:effectExtent l="0" t="0" r="0" b="0"/>
                      <wp:wrapNone/>
                      <wp:docPr id="281" name="Frame2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29260" cy="175260"/>
                      <wp:effectExtent l="0" t="0" r="0" b="0"/>
                      <wp:wrapNone/>
                      <wp:docPr id="284" name="Frame2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1,150</w:t>
            </w:r>
          </w:p>
        </w:tc>
      </w:tr>
    </w:tbl>
    <w:p>
      <w:pPr>
        <w:pStyle w:val="TextBody"/>
        <w:bidi w:val="0"/>
        <w:spacing w:before="0" w:after="24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lease cost is included in rent and occupancy on the consolidated statements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Amounts reported in the consolidated statements of financial condition as of December 31, 2025 and 2024 were as follows </w:t>
      </w:r>
      <w:r>
        <w:rPr>
          <w:rFonts w:ascii="Times New Roman;Times;serif" w:hAnsi="Times New Roman;Times;serif"/>
          <w:b/>
          <w:i/>
          <w:sz w:val="20"/>
        </w:rPr>
        <w:t>(in thousands)</w:t>
      </w:r>
      <w:r>
        <w:rPr>
          <w:rFonts w:ascii="Times New Roman;Times;serif" w:hAnsi="Times New Roman;Times;serif"/>
          <w:sz w:val="20"/>
        </w:rPr>
        <w:t>:</w:t>
      </w:r>
    </w:p>
    <w:tbl>
      <w:tblPr>
        <w:tblW w:w="4702" w:type="dxa"/>
        <w:jc w:val="left"/>
        <w:tblInd w:w="0" w:type="dxa"/>
        <w:tblLayout w:type="fixed"/>
        <w:tblCellMar>
          <w:top w:w="0" w:type="dxa"/>
          <w:left w:w="0" w:type="dxa"/>
          <w:bottom w:w="0" w:type="dxa"/>
          <w:right w:w="0" w:type="dxa"/>
        </w:tblCellMar>
      </w:tblPr>
      <w:tblGrid>
        <w:gridCol w:w="2341"/>
        <w:gridCol w:w="346"/>
        <w:gridCol w:w="211"/>
        <w:gridCol w:w="571"/>
        <w:gridCol w:w="346"/>
        <w:gridCol w:w="211"/>
        <w:gridCol w:w="676"/>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86535" cy="175260"/>
                      <wp:effectExtent l="0" t="0" r="0" b="0"/>
                      <wp:wrapNone/>
                      <wp:docPr id="285" name="Frame285"/>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62585" cy="175260"/>
                      <wp:effectExtent l="0" t="0" r="0" b="0"/>
                      <wp:wrapNone/>
                      <wp:docPr id="288" name="Frame2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29260" cy="175260"/>
                      <wp:effectExtent l="0" t="0" r="0" b="0"/>
                      <wp:wrapNone/>
                      <wp:docPr id="291" name="Frame2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ROU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3,730</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3,820</w:t>
            </w:r>
          </w:p>
        </w:tc>
      </w:tr>
    </w:tbl>
    <w:p>
      <w:pPr>
        <w:pStyle w:val="TextBody"/>
        <w:bidi w:val="0"/>
        <w:spacing w:before="0" w:after="24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supplemental information related to leases as of December 31, 2025 and 2024 are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paid for amounts included in the measurement of lease liabilities for the years ended December 31, 2025 and 2024 </w:t>
      </w:r>
      <w:r>
        <w:rPr>
          <w:rFonts w:ascii="Times New Roman;Times;serif" w:hAnsi="Times New Roman;Times;serif"/>
          <w:b/>
          <w:i/>
          <w:sz w:val="20"/>
        </w:rPr>
        <w:t>(in thousands)</w:t>
      </w:r>
      <w:r>
        <w:rPr>
          <w:rFonts w:ascii="Times New Roman;Times;serif" w:hAnsi="Times New Roman;Times;serif"/>
          <w:sz w:val="20"/>
        </w:rPr>
        <w:t>:</w:t>
      </w:r>
    </w:p>
    <w:tbl>
      <w:tblPr>
        <w:tblW w:w="3517" w:type="dxa"/>
        <w:jc w:val="left"/>
        <w:tblInd w:w="0" w:type="dxa"/>
        <w:tblLayout w:type="fixed"/>
        <w:tblCellMar>
          <w:top w:w="0" w:type="dxa"/>
          <w:left w:w="0" w:type="dxa"/>
          <w:bottom w:w="0" w:type="dxa"/>
          <w:right w:w="0" w:type="dxa"/>
        </w:tblCellMar>
      </w:tblPr>
      <w:tblGrid>
        <w:gridCol w:w="1456"/>
        <w:gridCol w:w="346"/>
        <w:gridCol w:w="211"/>
        <w:gridCol w:w="421"/>
        <w:gridCol w:w="346"/>
        <w:gridCol w:w="211"/>
        <w:gridCol w:w="526"/>
      </w:tblGrid>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67335" cy="175260"/>
                      <wp:effectExtent l="0" t="0" r="0" b="0"/>
                      <wp:wrapNone/>
                      <wp:docPr id="294" name="Frame29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34010" cy="175260"/>
                      <wp:effectExtent l="0" t="0" r="0" b="0"/>
                      <wp:wrapNone/>
                      <wp:docPr id="297" name="Frame29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Weighted-average remaining lease term as of December 31, 2025 and 2024:</w:t>
      </w:r>
    </w:p>
    <w:tbl>
      <w:tblPr>
        <w:tblW w:w="3905" w:type="dxa"/>
        <w:jc w:val="left"/>
        <w:tblInd w:w="0" w:type="dxa"/>
        <w:tblLayout w:type="fixed"/>
        <w:tblCellMar>
          <w:top w:w="0" w:type="dxa"/>
          <w:left w:w="0" w:type="dxa"/>
          <w:bottom w:w="0" w:type="dxa"/>
          <w:right w:w="0" w:type="dxa"/>
        </w:tblCellMar>
      </w:tblPr>
      <w:tblGrid>
        <w:gridCol w:w="1456"/>
        <w:gridCol w:w="346"/>
        <w:gridCol w:w="826"/>
        <w:gridCol w:w="346"/>
        <w:gridCol w:w="931"/>
      </w:tblGrid>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24510" cy="175260"/>
                      <wp:effectExtent l="0" t="0" r="0" b="0"/>
                      <wp:wrapNone/>
                      <wp:docPr id="299" name="Frame29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91185" cy="175260"/>
                      <wp:effectExtent l="0" t="0" r="0" b="0"/>
                      <wp:wrapNone/>
                      <wp:docPr id="301" name="Frame3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 years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 years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Weighted-average discount rate as of December 31, 2025 and 2024:</w:t>
      </w:r>
    </w:p>
    <w:tbl>
      <w:tblPr>
        <w:tblW w:w="3396" w:type="dxa"/>
        <w:jc w:val="left"/>
        <w:tblInd w:w="0" w:type="dxa"/>
        <w:tblLayout w:type="fixed"/>
        <w:tblCellMar>
          <w:top w:w="0" w:type="dxa"/>
          <w:left w:w="0" w:type="dxa"/>
          <w:bottom w:w="0" w:type="dxa"/>
          <w:right w:w="0" w:type="dxa"/>
        </w:tblCellMar>
      </w:tblPr>
      <w:tblGrid>
        <w:gridCol w:w="1456"/>
        <w:gridCol w:w="346"/>
        <w:gridCol w:w="466"/>
        <w:gridCol w:w="346"/>
        <w:gridCol w:w="466"/>
        <w:gridCol w:w="316"/>
      </w:tblGrid>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95910" cy="175260"/>
                      <wp:effectExtent l="0" t="0" r="0" b="0"/>
                      <wp:wrapNone/>
                      <wp:docPr id="303" name="Frame30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95910" cy="175260"/>
                      <wp:effectExtent l="0" t="0" r="0" b="0"/>
                      <wp:wrapNone/>
                      <wp:docPr id="305" name="Frame30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0660" cy="175260"/>
                      <wp:effectExtent l="0" t="0" r="0" b="0"/>
                      <wp:wrapNone/>
                      <wp:docPr id="306" name="Frame30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 </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78" w:name="Tc_KJAggVKjCkWoXU3lHE7M2Q_5_2"/>
      <w:bookmarkStart w:id="1079" w:name="Tc_u-8TpoVhFkCNockrcfJ-kQ_5_0"/>
      <w:bookmarkStart w:id="1080" w:name="Tc_UpIOGRLefkuHeQVlowbMXA_4_0"/>
      <w:bookmarkStart w:id="1081" w:name="Tc_v5hZ79Yw2UmNAX_yZOW6XQ_3_0"/>
      <w:bookmarkStart w:id="1082" w:name="Tc_P5uTZg3BgUekx-oXbVwQPg_2_0"/>
      <w:bookmarkStart w:id="1083" w:name="Tc_kbkQJFxMkEOF6ZPVMghvUw_1_2"/>
      <w:bookmarkStart w:id="1084" w:name="Tc_pM3ERsd4-EKNtys7TykyIQ_1_0"/>
      <w:bookmarkStart w:id="1085" w:name="Tc_HefQDOcPz0i7CeDUaqlaFA_8_2"/>
      <w:bookmarkStart w:id="1086" w:name="Tc_cAnsH_gHQkuO-ltoy_Nh-Q_8_0"/>
      <w:bookmarkStart w:id="1087" w:name="Tc_vuA3TRb23UulZ1orUyoOkw_7_0"/>
      <w:bookmarkStart w:id="1088" w:name="Tc_SjDiKiCWokSFLhTu4KO4bQ_5_0"/>
      <w:bookmarkStart w:id="1089" w:name="Tc_ctHJJZ8lj0Sd4ITbEHrdzw_4_0"/>
      <w:bookmarkStart w:id="1090" w:name="Tc_sUD23RGvdUmBl6LNyc-5tQ_3_0"/>
      <w:bookmarkStart w:id="1091" w:name="Tc_2ziJzRP2k0uqsjA_DHGMPw_2_0"/>
      <w:bookmarkStart w:id="1092" w:name="Tc_pdePUYHIJUOFpae6g64aJQ_1_2"/>
      <w:bookmarkStart w:id="1093" w:name="Tc_9LxEAgF4h0--o1uGroq0vw_1_0"/>
      <w:bookmarkStart w:id="1094" w:name="_8475f558_5e1d_430e_b2c9_2f10c385d32d"/>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r>
        <w:rPr>
          <w:rFonts w:ascii="Times New Roman;Times;serif" w:hAnsi="Times New Roman;Times;serif"/>
          <w:b/>
          <w:i w:val="false"/>
          <w:caps w:val="false"/>
          <w:smallCaps w:val="false"/>
          <w:sz w:val="20"/>
        </w:rPr>
        <w:t>12.</w:t>
      </w:r>
      <w:r>
        <w:rPr>
          <w:rFonts w:ascii="Times New Roman;Times;serif" w:hAnsi="Times New Roman;Times;serif"/>
          <w:b/>
          <w:sz w:val="20"/>
        </w:rPr>
        <w:t xml:space="preserve">LEASES </w:t>
      </w:r>
      <w:r>
        <w:rPr>
          <w:rFonts w:ascii="Times New Roman;Times;serif" w:hAnsi="Times New Roman;Times;serif"/>
          <w:b/>
          <w:i/>
          <w:sz w:val="20"/>
        </w:rPr>
        <w:t>(continued)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Maturities of lease liabilities as of December 31, 2025 were as follows </w:t>
      </w:r>
      <w:r>
        <w:rPr>
          <w:rFonts w:ascii="Times New Roman;Times;serif" w:hAnsi="Times New Roman;Times;serif"/>
          <w:b/>
          <w:i/>
          <w:sz w:val="20"/>
        </w:rPr>
        <w:t>(in thousands)</w:t>
      </w:r>
      <w:r>
        <w:rPr>
          <w:rFonts w:ascii="Times New Roman;Times;serif" w:hAnsi="Times New Roman;Times;serif"/>
          <w:sz w:val="20"/>
        </w:rPr>
        <w:t>:</w:t>
      </w:r>
    </w:p>
    <w:tbl>
      <w:tblPr>
        <w:tblW w:w="3139" w:type="dxa"/>
        <w:jc w:val="left"/>
        <w:tblInd w:w="0" w:type="dxa"/>
        <w:tblLayout w:type="fixed"/>
        <w:tblCellMar>
          <w:top w:w="0" w:type="dxa"/>
          <w:left w:w="0" w:type="dxa"/>
          <w:bottom w:w="0" w:type="dxa"/>
          <w:right w:w="0" w:type="dxa"/>
        </w:tblCellMar>
      </w:tblPr>
      <w:tblGrid>
        <w:gridCol w:w="1906"/>
        <w:gridCol w:w="346"/>
        <w:gridCol w:w="211"/>
        <w:gridCol w:w="676"/>
      </w:tblGrid>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9260" cy="175260"/>
                      <wp:effectExtent l="0" t="0" r="0" b="0"/>
                      <wp:wrapNone/>
                      <wp:docPr id="309" name="Frame3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3,221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Subsequent to December 31, 2025, on February 4, 2026, WEG entered into an a first amendment for their existing office space to extend the lease from May 1, 2026 through August 1, 2029. Additionally, on January 7, 2026, the Company entered into a lease for office space with a term beginning in February 2026 through June 2029. Future minimum payments on these leases are as follows:</w:t>
      </w:r>
    </w:p>
    <w:p>
      <w:pPr>
        <w:pStyle w:val="TextBody"/>
        <w:bidi w:val="0"/>
        <w:spacing w:before="0" w:after="0"/>
        <w:ind w:left="0" w:right="0" w:hanging="0"/>
        <w:jc w:val="left"/>
        <w:rPr/>
      </w:pPr>
      <w:r>
        <w:rPr/>
        <w:t>​</w:t>
      </w:r>
    </w:p>
    <w:tbl>
      <w:tblPr>
        <w:tblW w:w="1639" w:type="dxa"/>
        <w:jc w:val="left"/>
        <w:tblInd w:w="0" w:type="dxa"/>
        <w:tblLayout w:type="fixed"/>
        <w:tblCellMar>
          <w:top w:w="0" w:type="dxa"/>
          <w:left w:w="0" w:type="dxa"/>
          <w:bottom w:w="0" w:type="dxa"/>
          <w:right w:w="0" w:type="dxa"/>
        </w:tblCellMar>
      </w:tblPr>
      <w:tblGrid>
        <w:gridCol w:w="556"/>
        <w:gridCol w:w="346"/>
        <w:gridCol w:w="211"/>
        <w:gridCol w:w="52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53060" cy="175260"/>
                      <wp:effectExtent l="0" t="0" r="0" b="0"/>
                      <wp:wrapNone/>
                      <wp:docPr id="310" name="Frame31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34010" cy="175260"/>
                      <wp:effectExtent l="0" t="0" r="0" b="0"/>
                      <wp:wrapNone/>
                      <wp:docPr id="313" name="Frame31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5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5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5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5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SERIES A REDEEMABLE CONVERTIBLE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15, 2024 (the “Funding Date”), in connection with the consummation of the Business Combination, Holdings and BMS entered into a Subscription Agreement with an investor for the purchase of 1,500,000 shares of Holdings’ Series A Redeemable Convertible Preferred Stock (the “</w:t>
      </w:r>
      <w:r>
        <w:rPr>
          <w:rFonts w:ascii="Times New Roman;Times;serif" w:hAnsi="Times New Roman;Times;serif"/>
          <w:b/>
          <w:i/>
          <w:sz w:val="20"/>
        </w:rPr>
        <w:t>Holdings Series A Stock</w:t>
      </w:r>
      <w:r>
        <w:rPr>
          <w:rFonts w:ascii="Times New Roman;Times;serif" w:hAnsi="Times New Roman;Times;serif"/>
          <w:sz w:val="20"/>
        </w:rPr>
        <w:t>”) in a private placement at $9.60 per share, for an aggregate purchase price of $14.4 million (the “</w:t>
      </w:r>
      <w:r>
        <w:rPr>
          <w:rFonts w:ascii="Times New Roman;Times;serif" w:hAnsi="Times New Roman;Times;serif"/>
          <w:b/>
          <w:i/>
          <w:sz w:val="20"/>
        </w:rPr>
        <w:t>Series A PIPE</w:t>
      </w:r>
      <w:r>
        <w:rPr>
          <w:rFonts w:ascii="Times New Roman;Times;serif" w:hAnsi="Times New Roman;Times;serif"/>
          <w:sz w:val="20"/>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As of December 31, 2025, the Company accrued 50% of the dividend to be paid in cash in the amount of $0.2 million and paid an in-kind dividend in the amount of $0.2 million. As of December 31, 2024, the Company accrued 50% of the dividend to be paid in cash in the approximate amount of $0.2 million. For the years ended December 31, 2025 and 2024, the Company paid dividends under the Series A Stock in the amount of approximately $1.4 million and $1.1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Holdings Series A Stock has liquidation preferences in the event of a voluntary or involuntary liquidation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greater of $12.50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first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second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third anniversary of the Funding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Holdings Series A Stock if such liquidation occurs prior to the fourth anniversary of the Funding Date.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 xml:space="preserve">SERIES A REDEEMABLE CONVERTIBLE PREFERRED STOCK </w:t>
      </w:r>
      <w:r>
        <w:rPr>
          <w:rFonts w:ascii="Times New Roman;Times;serif" w:hAnsi="Times New Roman;Times;serif"/>
          <w:b/>
          <w:i/>
          <w:sz w:val="20"/>
        </w:rPr>
        <w:t>(continued)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Holdings, at its option, may redeem the Series A Stock on any anniversary of the Funding date up to and including the fourth anniversary of the Funding date at the following redemption prices:</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$11.50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first anniversary of the Funding Date;</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$13.00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second anniversary of the Funding Date;</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$15.00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third anniversary of the Funding Date;</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$16.00</w:t>
            </w:r>
            <w:r>
              <w:rPr>
                <w:caps w:val="false"/>
                <w:smallCaps w:val="false"/>
              </w:rPr>
              <w:t xml:space="preserve"> </w:t>
            </w:r>
            <w:r>
              <w:rPr>
                <w:rFonts w:ascii="Times New Roman;Times;serif" w:hAnsi="Times New Roman;Times;serif"/>
                <w:b w:val="false"/>
                <w:i w:val="false"/>
                <w:caps w:val="false"/>
                <w:smallCaps w:val="false"/>
                <w:sz w:val="20"/>
              </w:rPr>
              <w:t>per share of Series A Stock on the fourth anniversary of the Funding 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Series A Stock have not previously been redeemed or converted, the Series A Stock will be redeemed by Holdings on the fourth anniversary of the Funding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SERIES B CONVERTIBLE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4, 2024, the Company entered into a Subscription Agreement with an investor for the purchase of 150,000 shares of Holdings’ Series B Convertible Preferred Stock, par value $.0001 (the “</w:t>
      </w:r>
      <w:r>
        <w:rPr>
          <w:rFonts w:ascii="Times New Roman;Times;serif" w:hAnsi="Times New Roman;Times;serif"/>
          <w:b/>
          <w:i/>
          <w:sz w:val="20"/>
        </w:rPr>
        <w:t>Holdings Series B Stock</w:t>
      </w:r>
      <w:r>
        <w:rPr>
          <w:rFonts w:ascii="Times New Roman;Times;serif" w:hAnsi="Times New Roman;Times;serif"/>
          <w:sz w:val="20"/>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(A).80 multiplied by, (B) the volume weighted average price for the 20 trading days during the 30-day period immediately prior to such conversion, provided that in no event shall the denominator be less than $6.00 per share (the “Conversion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December 31, 2025 and 2024, included in accounts payable, accrued expenses and other liabilities on the accompanying consolidated statements of financial condition, is an accrued dividend in the amount $0.03 and $0.03, respectively, that was paid subsequent to December 31, 2025 and 2024. For the year ended December 31, 2025 and 2024 total dividends related to the Holdings Series B Stock amounted to approximately $0.1 million and $0.03 million,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95" w:name="Tc_Vn59DO93mkOd4cObEoDPYQ_6_11"/>
      <w:bookmarkStart w:id="1096" w:name="Tc_p2N0ztF3F0KVWnoupuWxlQ_6_4"/>
      <w:bookmarkStart w:id="1097" w:name="Tc_0sie-hO3eku8OIL9yY6-QQ_5_11"/>
      <w:bookmarkStart w:id="1098" w:name="Tc_UcNbTE2SBE6s-qMPIYRK3w_5_9"/>
      <w:bookmarkStart w:id="1099" w:name="Tc_nZoRymuiOkWjZrUGVCq0aQ_5_7"/>
      <w:bookmarkStart w:id="1100" w:name="Tc_I9OMdkHr7U2G-5Dk4oflOQ_5_4"/>
      <w:bookmarkStart w:id="1101" w:name="Tc_kAGEp0-AGke1nIP0rCmGDQ_5_2"/>
      <w:bookmarkStart w:id="1102" w:name="Tc_xRhRYJ48L0aXHnwHP7Sssw_5_0"/>
      <w:bookmarkStart w:id="1103" w:name="Tc_euMmXvxtYECBm6P6LkqkCg_4_11"/>
      <w:bookmarkStart w:id="1104" w:name="Tc_Btfyt95mJUeSwduUrENfIQ_4_9"/>
      <w:bookmarkStart w:id="1105" w:name="Tc_Sbif-O6aSk6f8PFbTdJE4w_4_7"/>
      <w:bookmarkStart w:id="1106" w:name="Tc_3biG3Nnd30aWGsD9Y3jyxQ_4_4"/>
      <w:bookmarkStart w:id="1107" w:name="Tc_9R0zRRWY7UCOE0etyevDvA_4_2"/>
      <w:bookmarkStart w:id="1108" w:name="Tc_XbGeTvy-B0mOVpKvLzkehg_3_11"/>
      <w:bookmarkStart w:id="1109" w:name="Tc_8JJ6mxzt4kyou34JIlI3Hg_3_7"/>
      <w:bookmarkStart w:id="1110" w:name="Tc_LXosqSQcn0mwNGArEmQjJQ_3_4"/>
      <w:bookmarkStart w:id="1111" w:name="Tc_4pn4KkKBn0-VYcb6HGpfVQ_2_11"/>
      <w:bookmarkStart w:id="1112" w:name="Tc_Ua_2ZLhxHkWyBdOiQsMmuw_2_7"/>
      <w:bookmarkStart w:id="1113" w:name="Tc_lKiOunxkB0e2K5hp2m5Nnw_2_4"/>
      <w:bookmarkStart w:id="1114" w:name="Tc_zRFcoIXnDE-HOhHdiF0gjg_1_11"/>
      <w:bookmarkStart w:id="1115" w:name="Tc_0JoBm_uMHUCTUE0_nQ7vyg_1_4"/>
      <w:bookmarkStart w:id="1116" w:name="_3e178656_a879_4d4a_b0a7_73e1e5508b56"/>
      <w:bookmarkStart w:id="1117" w:name="Tc_MgPiVot_2ES7XGGjg6kGPQ_9_0"/>
      <w:bookmarkStart w:id="1118" w:name="Tc_c5ZRfloL4k2IrnyJNL6U3A_8_0"/>
      <w:bookmarkStart w:id="1119" w:name="Tc_6pfbjjK1FkWwJcYE9XhdGQ_7_0"/>
      <w:bookmarkStart w:id="1120" w:name="Tc_HPQ3pf3V20CLZ5RfPisRRA_6_2"/>
      <w:bookmarkStart w:id="1121" w:name="Tc_HJGAy3gxjEa5iWw_WgqzYQ_6_0"/>
      <w:bookmarkStart w:id="1122" w:name="Tc_BdE6AlJIR0S2aNkGvCaYWw_5_2"/>
      <w:bookmarkStart w:id="1123" w:name="Tc_l9hdGtOJC0CymYAlaZawqg_5_0"/>
      <w:bookmarkStart w:id="1124" w:name="Tc_EDZ4eVCrXE2DDH3MNkn4fw_4_0"/>
      <w:bookmarkStart w:id="1125" w:name="Tc_pHRG9ICs0kuIJ5I6iddU0g_3_2"/>
      <w:bookmarkStart w:id="1126" w:name="Tc_eTV-uQak-0KG3vuqA--FPw_3_0"/>
      <w:bookmarkStart w:id="1127" w:name="Tc_k8xLSXe3p0uXcSrJ1Z_hmA_2_2"/>
      <w:bookmarkStart w:id="1128" w:name="Tc_iHpxGZZE6UCJYJE0dcwI3g_1_2"/>
      <w:bookmarkStart w:id="1129" w:name="_62582bcc_f036_4f63_9fd5_33c7f83b9149"/>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rFonts w:ascii="Times New Roman;Times;serif" w:hAnsi="Times New Roman;Times;serif"/>
          <w:b/>
          <w:i w:val="false"/>
          <w:caps w:val="false"/>
          <w:smallCaps w:val="false"/>
          <w:sz w:val="20"/>
        </w:rPr>
        <w:t>15.</w:t>
      </w:r>
      <w:r>
        <w:rPr>
          <w:rFonts w:ascii="Times New Roman;Times;serif" w:hAnsi="Times New Roman;Times;serif"/>
          <w:b/>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Binah Capital Group, Inc. 2024 Equity Incentive Plan (the “Plan”) was established and effective March 15, 2024. The purpose of the Plan is to advance the interests of the Company and its stockholders by providing an incentive to attract, retain and reward persons performing services for the Company and by motivating such persons to contribute to the growth and profitability of the Company. The Plan seeks to achieve this purpose by providing for Awards in the form of Options, Stock Appreciation Rights, Restricted Stock Awards, Restricted Stock Units, Performance Shares, Performance Units, Cash-Based Awards and Other Stock-Based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adjustment as provided in the Plan, the maximum aggregate number of shares of Stock that may be issued under the Plan shall be equal to 1,600,000 shares (the “</w:t>
      </w:r>
      <w:r>
        <w:rPr>
          <w:rFonts w:ascii="Times New Roman;Times;serif" w:hAnsi="Times New Roman;Times;serif"/>
          <w:b/>
          <w:i/>
          <w:sz w:val="20"/>
        </w:rPr>
        <w:t>Base Reserve</w:t>
      </w:r>
      <w:r>
        <w:rPr>
          <w:rFonts w:ascii="Times New Roman;Times;serif" w:hAnsi="Times New Roman;Times;serif"/>
          <w:sz w:val="20"/>
        </w:rPr>
        <w:t>”) plus an annual increase, effective as of the first day of the Company’s fiscal year beginning in the year following the fiscal year in which the Company’s stockholders approved the Plan and the first day of each subsequent fiscal year through and including the first day of the Company’s fiscal year beginning on the tenth (10th)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stock option activity as of and for the year ended December 31, 2025:</w:t>
      </w:r>
    </w:p>
    <w:tbl>
      <w:tblPr>
        <w:tblW w:w="5628" w:type="dxa"/>
        <w:jc w:val="left"/>
        <w:tblInd w:w="0" w:type="dxa"/>
        <w:tblLayout w:type="fixed"/>
        <w:tblCellMar>
          <w:top w:w="0" w:type="dxa"/>
          <w:left w:w="0" w:type="dxa"/>
          <w:bottom w:w="0" w:type="dxa"/>
          <w:right w:w="0" w:type="dxa"/>
        </w:tblCellMar>
      </w:tblPr>
      <w:tblGrid>
        <w:gridCol w:w="4396"/>
        <w:gridCol w:w="346"/>
        <w:gridCol w:w="88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791460" cy="175260"/>
                      <wp:effectExtent l="0" t="0" r="0" b="0"/>
                      <wp:wrapNone/>
                      <wp:docPr id="314" name="Frame314"/>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62610" cy="175260"/>
                      <wp:effectExtent l="0" t="0" r="0" b="0"/>
                      <wp:wrapNone/>
                      <wp:docPr id="316" name="Frame3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872,500</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872,500</w:t>
            </w:r>
          </w:p>
        </w:tc>
      </w:tr>
      <w:tr>
        <w:trPr/>
        <w:tc>
          <w:tcPr>
            <w:tcW w:w="43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472,222</w:t>
            </w:r>
          </w:p>
        </w:tc>
      </w:tr>
      <w:tr>
        <w:trPr/>
        <w:tc>
          <w:tcPr>
            <w:tcW w:w="43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and expected to vest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472,222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about the outstanding options as of December 31, 2025:</w:t>
      </w:r>
    </w:p>
    <w:tbl>
      <w:tblPr>
        <w:tblW w:w="7601" w:type="dxa"/>
        <w:jc w:val="left"/>
        <w:tblInd w:w="0" w:type="dxa"/>
        <w:tblLayout w:type="fixed"/>
        <w:tblCellMar>
          <w:top w:w="0" w:type="dxa"/>
          <w:left w:w="0" w:type="dxa"/>
          <w:bottom w:w="0" w:type="dxa"/>
          <w:right w:w="0" w:type="dxa"/>
        </w:tblCellMar>
      </w:tblPr>
      <w:tblGrid>
        <w:gridCol w:w="1141"/>
        <w:gridCol w:w="346"/>
        <w:gridCol w:w="886"/>
        <w:gridCol w:w="346"/>
        <w:gridCol w:w="313"/>
        <w:gridCol w:w="693"/>
        <w:gridCol w:w="346"/>
        <w:gridCol w:w="976"/>
        <w:gridCol w:w="346"/>
        <w:gridCol w:w="886"/>
        <w:gridCol w:w="346"/>
        <w:gridCol w:w="263"/>
        <w:gridCol w:w="713"/>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724535" cy="175260"/>
                      <wp:effectExtent l="0" t="0" r="0" b="0"/>
                      <wp:wrapNone/>
                      <wp:docPr id="317" name="Frame3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62610" cy="175260"/>
                      <wp:effectExtent l="0" t="0" r="0" b="0"/>
                      <wp:wrapNone/>
                      <wp:docPr id="319" name="Frame31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98755" cy="175260"/>
                      <wp:effectExtent l="0" t="0" r="0" b="0"/>
                      <wp:wrapNone/>
                      <wp:docPr id="321" name="Frame321"/>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40055" cy="175260"/>
                      <wp:effectExtent l="0" t="0" r="0" b="0"/>
                      <wp:wrapNone/>
                      <wp:docPr id="322" name="Frame322"/>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19760" cy="175260"/>
                      <wp:effectExtent l="0" t="0" r="0" b="0"/>
                      <wp:wrapNone/>
                      <wp:docPr id="324" name="Frame32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62610" cy="175260"/>
                      <wp:effectExtent l="0" t="0" r="0" b="0"/>
                      <wp:wrapNone/>
                      <wp:docPr id="326" name="Frame3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67005" cy="175260"/>
                      <wp:effectExtent l="0" t="0" r="0" b="0"/>
                      <wp:wrapNone/>
                      <wp:docPr id="328" name="Frame32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52755" cy="175260"/>
                      <wp:effectExtent l="0" t="0" r="0" b="0"/>
                      <wp:wrapNone/>
                      <wp:docPr id="329" name="Frame329"/>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Exercisable</w:t>
            </w:r>
          </w:p>
        </w:tc>
      </w:tr>
      <w:tr>
        <w:trPr/>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$2.04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872,500</w:t>
            </w:r>
          </w:p>
        </w:tc>
        <w:tc>
          <w:tcPr>
            <w:tcW w:w="34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472,222</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30" w:name="Tc_WHVH0OOrtU6gfeU1VmRlUw_11_10"/>
      <w:bookmarkStart w:id="1131" w:name="Tc_g-fwiGHhzk2ikSllNu8KNQ_11_9"/>
      <w:bookmarkStart w:id="1132" w:name="Tc_5Ey3TKr1WkOd7sCFpu0YrQ_11_7"/>
      <w:bookmarkStart w:id="1133" w:name="Tc_rGjjIBWKfUG7QkKjUh72Dg_11_4"/>
      <w:bookmarkStart w:id="1134" w:name="Tc_HLS3-ZAIEki2ec_oJ8bHZQ_11_0"/>
      <w:bookmarkStart w:id="1135" w:name="Tc_eoHCnqZmMEay_6ucO_oPcw_10_0"/>
      <w:bookmarkStart w:id="1136" w:name="Tc_HLLZE2e78UushZ6xD77uDQ_9_10"/>
      <w:bookmarkStart w:id="1137" w:name="Tc_ZY_doTk3x0SZaxivhZ71EA_9_7"/>
      <w:bookmarkStart w:id="1138" w:name="Tc_0Fd17LH5KUym24AcH8BU6w_9_2"/>
      <w:bookmarkStart w:id="1139" w:name="Tc_I5WuVaclikONADHMU0USyA_9_0"/>
      <w:bookmarkStart w:id="1140" w:name="Tc_VKyLWO4ALES2JjU99skNKQ_8_10"/>
      <w:bookmarkStart w:id="1141" w:name="Tc_mAlPX3bypEyOqCgU8L68Kw_8_7"/>
      <w:bookmarkStart w:id="1142" w:name="Tc_1Op9o4OKJke_lHSWJ8Hm6A_8_0"/>
      <w:bookmarkStart w:id="1143" w:name="Tc_6Jvm0OcbrkmKdkYSiEdJcg_7_0"/>
      <w:bookmarkStart w:id="1144" w:name="Tc_W9pk6R43TU-dfP--kWDtwQ_6_10"/>
      <w:bookmarkStart w:id="1145" w:name="Tc_1hWz5jlkdkmVxecg4cDa1w_6_9"/>
      <w:bookmarkStart w:id="1146" w:name="Tc_3Nhka_4UskmzsgWMQXLjjg_6_7"/>
      <w:bookmarkStart w:id="1147" w:name="Tc_aThaDaqBZ0CqlwQe3K7fLQ_6_5"/>
      <w:bookmarkStart w:id="1148" w:name="Tc_ktzzqJ-3I0KWZ5kEyT5YGA_6_4"/>
      <w:bookmarkStart w:id="1149" w:name="Tc_8Om6yNfWoUui2rQiSMFXlQ_6_2"/>
      <w:bookmarkStart w:id="1150" w:name="Tc_i6pRiKGpOka6tUhZH1Us4Q_6_0"/>
      <w:bookmarkStart w:id="1151" w:name="Tc_wTxUiSkSdkC1InazMNYeAQ_5_9"/>
      <w:bookmarkStart w:id="1152" w:name="Tc_E27CPr0QtE6oWHZR4uhdfg_5_7"/>
      <w:bookmarkStart w:id="1153" w:name="Tc_gd7MEvwVmUCc9eK-sWDtig_5_4"/>
      <w:bookmarkStart w:id="1154" w:name="Tc_BagIY9aqb0uft4mu6jrZ6A_5_2"/>
      <w:bookmarkStart w:id="1155" w:name="Tc_TthuZeS5GUKSC12TjSmu-Q_4_9"/>
      <w:bookmarkStart w:id="1156" w:name="Tc_YFAliUutRUKAQUqXPer8KA_4_7"/>
      <w:bookmarkStart w:id="1157" w:name="Tc_7g4JiYYPtkqAlNEbZ3R1kQ_4_4"/>
      <w:bookmarkStart w:id="1158" w:name="Tc_y5M9bij9-k2m5SQU1Zez9Q_4_2"/>
      <w:bookmarkStart w:id="1159" w:name="Tc_Ajqr7ZZPTUmIa1TZ6ljSRw_3_9"/>
      <w:bookmarkStart w:id="1160" w:name="Tc_nti1CUgEAkKSR4n-S1w5qw_3_4"/>
      <w:bookmarkStart w:id="1161" w:name="Tc_3-8Q_itfXUCaZm48hr2jGg_2_9"/>
      <w:bookmarkStart w:id="1162" w:name="Tc_oqOdcRmNB0-NQ1LkFLF8AA_2_4"/>
      <w:bookmarkStart w:id="1163" w:name="Tc_IpUifJQ1WUyyLNWxtBKwww_1_7"/>
      <w:bookmarkStart w:id="1164" w:name="Tc_xvyav_rYWEGTGyAUoGyN-A_1_2"/>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Fonts w:ascii="Times New Roman;Times;serif" w:hAnsi="Times New Roman;Times;serif"/>
          <w:b/>
          <w:i w:val="false"/>
          <w:caps w:val="false"/>
          <w:smallCaps w:val="false"/>
          <w:sz w:val="20"/>
        </w:rPr>
        <w:t>15.</w:t>
      </w:r>
      <w:r>
        <w:rPr>
          <w:rFonts w:ascii="Times New Roman;Times;serif" w:hAnsi="Times New Roman;Times;serif"/>
          <w:b/>
          <w:sz w:val="20"/>
        </w:rPr>
        <w:t xml:space="preserve">SHARE-BASED COMPENSATION </w:t>
      </w:r>
      <w:r>
        <w:rPr>
          <w:rFonts w:ascii="Times New Roman;Times;serif" w:hAnsi="Times New Roman;Times;serif"/>
          <w:b/>
          <w:i/>
          <w:sz w:val="20"/>
        </w:rPr>
        <w:t>(continued)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Stock and Stock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summarizes the Company’s activity in its restricted stock awards and stock units as of and for the year ended December 31, 2025:</w:t>
      </w:r>
    </w:p>
    <w:p>
      <w:pPr>
        <w:pStyle w:val="TextBody"/>
        <w:bidi w:val="0"/>
        <w:spacing w:before="0" w:after="0"/>
        <w:ind w:left="0" w:right="0" w:hanging="0"/>
        <w:jc w:val="left"/>
        <w:rPr/>
      </w:pPr>
      <w:r>
        <w:rPr/>
        <w:t>​</w:t>
      </w:r>
    </w:p>
    <w:tbl>
      <w:tblPr>
        <w:tblW w:w="8289" w:type="dxa"/>
        <w:jc w:val="left"/>
        <w:tblInd w:w="0" w:type="dxa"/>
        <w:tblLayout w:type="fixed"/>
        <w:tblCellMar>
          <w:top w:w="0" w:type="dxa"/>
          <w:left w:w="0" w:type="dxa"/>
          <w:bottom w:w="0" w:type="dxa"/>
          <w:right w:w="0" w:type="dxa"/>
        </w:tblCellMar>
      </w:tblPr>
      <w:tblGrid>
        <w:gridCol w:w="3196"/>
        <w:gridCol w:w="346"/>
        <w:gridCol w:w="886"/>
        <w:gridCol w:w="346"/>
        <w:gridCol w:w="294"/>
        <w:gridCol w:w="652"/>
        <w:gridCol w:w="346"/>
        <w:gridCol w:w="886"/>
        <w:gridCol w:w="346"/>
        <w:gridCol w:w="288"/>
        <w:gridCol w:w="703"/>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29460" cy="175260"/>
                      <wp:effectExtent l="0" t="0" r="0" b="0"/>
                      <wp:wrapNone/>
                      <wp:docPr id="330" name="Frame330"/>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62610" cy="175260"/>
                      <wp:effectExtent l="0" t="0" r="0" b="0"/>
                      <wp:wrapNone/>
                      <wp:docPr id="332" name="Frame3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86690" cy="175260"/>
                      <wp:effectExtent l="0" t="0" r="0" b="0"/>
                      <wp:wrapNone/>
                      <wp:docPr id="334" name="Frame33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14020" cy="175260"/>
                      <wp:effectExtent l="0" t="0" r="0" b="0"/>
                      <wp:wrapNone/>
                      <wp:docPr id="335" name="Frame335"/>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62610" cy="175260"/>
                      <wp:effectExtent l="0" t="0" r="0" b="0"/>
                      <wp:wrapNone/>
                      <wp:docPr id="337" name="Frame3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82880" cy="175260"/>
                      <wp:effectExtent l="0" t="0" r="0" b="0"/>
                      <wp:wrapNone/>
                      <wp:docPr id="339" name="Frame33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46405" cy="175260"/>
                      <wp:effectExtent l="0" t="0" r="0" b="0"/>
                      <wp:wrapNone/>
                      <wp:docPr id="340" name="Frame340"/>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78"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Awards</w:t>
            </w:r>
          </w:p>
        </w:tc>
        <w:tc>
          <w:tcPr>
            <w:tcW w:w="346" w:type="dxa"/>
            <w:tcBorders/>
            <w:vAlign w:val="center"/>
          </w:tcPr>
          <w:p>
            <w:pPr>
              <w:pStyle w:val="TableContents"/>
              <w:bidi w:val="0"/>
              <w:spacing w:before="0" w:after="0"/>
              <w:ind w:left="0" w:right="0" w:hanging="0"/>
              <w:jc w:val="center"/>
              <w:rPr/>
            </w:pPr>
            <w:r>
              <w:rPr/>
              <w:t>  ​ ​ ​</w:t>
            </w:r>
          </w:p>
        </w:tc>
        <w:tc>
          <w:tcPr>
            <w:tcW w:w="222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112,843</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112,843</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112,843</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 December 31, 2025</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112,843</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grants restricted stock awards and restricted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$0.5 million and $0.2 million of share-based compensation expense related to the vesting of the restricted stock awards and stock options during the year ended December 31, 2025. As of December 31, 2025, total unrecognized cost for restricted stock units and stock options was $1.1 million, which is expected to be recognized over the remaining period of 1.64 years.</w:t>
      </w:r>
    </w:p>
    <w:p>
      <w:pPr>
        <w:pStyle w:val="TextBody"/>
        <w:bidi w:val="0"/>
        <w:spacing w:before="0" w:after="240"/>
        <w:ind w:left="0" w:right="0" w:hanging="0"/>
        <w:jc w:val="left"/>
        <w:rPr>
          <w:rFonts w:ascii="Times New Roman;Times;serif" w:hAnsi="Times New Roman;Times;serif"/>
          <w:b/>
          <w:sz w:val="20"/>
        </w:rPr>
      </w:pPr>
      <w:bookmarkStart w:id="1165" w:name="_8babd823_8b79_463a_a874_bbfa7610dd65_3"/>
      <w:bookmarkStart w:id="1166" w:name="_8babd823_8b79_463a_a874_bbfa7610dd65_2"/>
      <w:bookmarkStart w:id="1167" w:name="_8babd823_8b79_463a_a874_bbfa7610dd65"/>
      <w:bookmarkStart w:id="1168" w:name="Tc_9zLEmCuHX0yIodtUb7onsg_2_0"/>
      <w:bookmarkStart w:id="1169" w:name="Tc_97ci_mNMnUWqpqselgeSxQ_1_2"/>
      <w:bookmarkStart w:id="1170" w:name="Tc_M0NA4W0XMESNY_-LcHU2fw_1_0"/>
      <w:bookmarkStart w:id="1171" w:name="_bf23043f_2960_4672_88f1_c8343f78aecd"/>
      <w:bookmarkEnd w:id="1165"/>
      <w:bookmarkEnd w:id="1166"/>
      <w:bookmarkEnd w:id="1167"/>
      <w:bookmarkEnd w:id="1168"/>
      <w:bookmarkEnd w:id="1169"/>
      <w:bookmarkEnd w:id="1170"/>
      <w:bookmarkEnd w:id="1171"/>
      <w:r>
        <w:rPr>
          <w:rFonts w:ascii="Times New Roman;Times;serif" w:hAnsi="Times New Roman;Times;serif"/>
          <w:b/>
          <w:i w:val="false"/>
          <w:caps w:val="false"/>
          <w:smallCaps w:val="false"/>
          <w:sz w:val="20"/>
        </w:rPr>
        <w:t>16.</w:t>
      </w:r>
      <w:r>
        <w:rPr>
          <w:rFonts w:ascii="Times New Roman;Times;serif" w:hAnsi="Times New Roman;Times;serif"/>
          <w:b/>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warrants outstanding as of December 31, 2025 and 2024:</w:t>
      </w:r>
    </w:p>
    <w:tbl>
      <w:tblPr>
        <w:tblW w:w="3468" w:type="dxa"/>
        <w:jc w:val="left"/>
        <w:tblInd w:w="0" w:type="dxa"/>
        <w:tblLayout w:type="fixed"/>
        <w:tblCellMar>
          <w:top w:w="0" w:type="dxa"/>
          <w:left w:w="0" w:type="dxa"/>
          <w:bottom w:w="0" w:type="dxa"/>
          <w:right w:w="0" w:type="dxa"/>
        </w:tblCellMar>
      </w:tblPr>
      <w:tblGrid>
        <w:gridCol w:w="1441"/>
        <w:gridCol w:w="346"/>
        <w:gridCol w:w="1681"/>
      </w:tblGrid>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067435" cy="175260"/>
                      <wp:effectExtent l="0" t="0" r="0" b="0"/>
                      <wp:wrapNone/>
                      <wp:docPr id="342" name="Frame34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 of Warrants</w:t>
            </w:r>
          </w:p>
        </w:tc>
        <w:tc>
          <w:tcPr>
            <w:tcW w:w="346" w:type="dxa"/>
            <w:tcBorders/>
            <w:vAlign w:val="center"/>
          </w:tcPr>
          <w:p>
            <w:pPr>
              <w:pStyle w:val="TableContents"/>
              <w:bidi w:val="0"/>
              <w:spacing w:before="0" w:after="0"/>
              <w:ind w:left="0" w:right="0" w:hanging="0"/>
              <w:jc w:val="left"/>
              <w:rPr/>
            </w:pPr>
            <w:r>
              <w:rPr/>
              <w:t>  ​ ​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Outstanding</w:t>
            </w:r>
          </w:p>
        </w:tc>
      </w:tr>
      <w:tr>
        <w:trPr/>
        <w:tc>
          <w:tcPr>
            <w:tcW w:w="1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15,147,958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whole warrant entitles the registered holder to purchase one share of Class A common stock at a price of $11.50 per share. A holder may exercise its warrants only for a whole number of shares of Class A common stock. No fractional warrants will be issued upon separation of the units and only whole warrants will trade. The Company may redeem the warrants at a price of $0.01 per share if the closing price of the Company’s Class A common stock equals or exceeds $18.00 per share for any 20 trading days within a 30-trading day period. The Warrants will expire five years after the Closing Date or earlier upon redemption or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Warrants are classified as derivative liabilities under ASC Topic 480 or ASC Topic 815. At December 31, 2025 and December 31, 2024, the fair value of the warrant liabilities is approximately $2.3 million and $1.0 million, respectively, and is included in accounts payable, accrued expenses and other liabilities on the accompanying consolidated statement of financial condition as of December 31, 2025 and 2024. For the years ended December 31, 2025 and 2024, included in other expenses on the consolidated statement of operations is unrealized (loss)/gain on the warrants in the amount of approximately $(1.3) million and $0.6 million,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72" w:name="Tc_UM-oAqMl6kGzLXaMZBhX6A_14_5"/>
      <w:bookmarkStart w:id="1173" w:name="Tc_3sjnUm5Iu0uQ3AmngUZEhA_11_5"/>
      <w:bookmarkStart w:id="1174" w:name="Tc_KFDMMauPIUODkr7bAU3cSQ_11_0"/>
      <w:bookmarkStart w:id="1175" w:name="Tc_4CskTnt2fk2bt3MW57XEQw_10_5"/>
      <w:bookmarkStart w:id="1176" w:name="Tc_UMeQQ_BrTEqSduODYr7rlw_10_0"/>
      <w:bookmarkStart w:id="1177" w:name="Tc_9Ni83K4pjU-uCVk44fIcPA_9_5"/>
      <w:bookmarkStart w:id="1178" w:name="Tc_dltA5qsEHEu-95Ro_ZlStA_9_0"/>
      <w:bookmarkStart w:id="1179" w:name="Tc_VQAUBztgF06bUpmABTCEUw_8_5"/>
      <w:bookmarkStart w:id="1180" w:name="Tc_Ud5KLsNTP06gBDIMsv5hBg_8_0"/>
      <w:bookmarkStart w:id="1181" w:name="Tc_I47eZNw-vUactT3ECPHYmQ_7_5"/>
      <w:bookmarkStart w:id="1182" w:name="Tc_obfaZAzOnkaZ_mL48omJ6w_7_0"/>
      <w:bookmarkStart w:id="1183" w:name="Tc_VB8f1jSF6066VsPW8lC9fg_6_5"/>
      <w:bookmarkStart w:id="1184" w:name="Tc_q7pulihkn02UphAi-SuOSQ_6_0"/>
      <w:bookmarkStart w:id="1185" w:name="Tc_CTtuCCYdhE2A8ftMJF5eEA_5_5"/>
      <w:bookmarkStart w:id="1186" w:name="Tc_7t8ftHj2KU2On6RGA5G55A_5_0"/>
      <w:bookmarkStart w:id="1187" w:name="Tc_ioC70rtERky_D3Bvvurtag_4_5"/>
      <w:bookmarkStart w:id="1188" w:name="Tc_MxH3NPjNMk6f09MsgSJXpw_4_0"/>
      <w:bookmarkStart w:id="1189" w:name="Tc_8q6njufRC0ypBXEd-HEGOA_3_5"/>
      <w:bookmarkStart w:id="1190" w:name="Tc_JmwM9TQAMkO7nENFwugK3Q_3_0"/>
      <w:bookmarkStart w:id="1191" w:name="Tc_NULLtxyKPUyMPb7s-a7szg_2_5"/>
      <w:bookmarkStart w:id="1192" w:name="Tc_eje4A0xrEUeg5dOWql0dIw_2_0"/>
      <w:bookmarkStart w:id="1193" w:name="Tc_nLzqB8s4BUKOz_r5Lixf_g_1_4"/>
      <w:bookmarkStart w:id="1194" w:name="Tc_ZSHkF6XrXEK8Z8dzLkOhdg_1_2"/>
      <w:bookmarkStart w:id="1195" w:name="_5f901599_53a5_4c62_a2d0_6ed292c1d411"/>
      <w:bookmarkStart w:id="1196" w:name="Tc_avH7THTw7Ue5dU22f7LC5w_11_5"/>
      <w:bookmarkStart w:id="1197" w:name="Tc_GwVH68D00UqC7peq0vs7QA_9_5"/>
      <w:bookmarkStart w:id="1198" w:name="Tc_CN_NqQtpI0WqZK0ojzjVQg_9_0"/>
      <w:bookmarkStart w:id="1199" w:name="Tc_AlwcYpk-YkiQywsYC2pPkQ_8_5"/>
      <w:bookmarkStart w:id="1200" w:name="Tc_-A8YGdsL50yT7csLGMMXMQ_8_0"/>
      <w:bookmarkStart w:id="1201" w:name="Tc_fBs2Kt3EXEe8-xxRfg1S2A_7_5"/>
      <w:bookmarkStart w:id="1202" w:name="Tc_r3JSqJrMIUyj0ENxQSKRhw_7_0"/>
      <w:bookmarkStart w:id="1203" w:name="Tc_rQYTtinc3kyI6XbWtZAoQQ_6_5"/>
      <w:bookmarkStart w:id="1204" w:name="Tc_QdN4DDkmxEmbGMOVLtUEWw_6_0"/>
      <w:bookmarkStart w:id="1205" w:name="Tc_rQL6IXVOEEGoHqTRs751uw_5_5"/>
      <w:bookmarkStart w:id="1206" w:name="Tc_AYecD6iyKUqtdwS9gTBM0Q_5_0"/>
      <w:bookmarkStart w:id="1207" w:name="Tc_chMhL8l6Y06YvPqsTqOKzA_4_5"/>
      <w:bookmarkStart w:id="1208" w:name="Tc_cLZBVHGzCUaK2fuuK2ylOw_4_0"/>
      <w:bookmarkStart w:id="1209" w:name="Tc_r3zwML1bK0OrN78Ng9ZXpw_3_5"/>
      <w:bookmarkStart w:id="1210" w:name="Tc_apV8hbb-Uk2ojrtlvDXGgw_2_5"/>
      <w:bookmarkStart w:id="1211" w:name="Tc_InxRkB3n60OxLtWG5gXIeA_2_0"/>
      <w:bookmarkStart w:id="1212" w:name="Tc_rzFIqZoHCUSeJ5puYReKaQ_1_4"/>
      <w:bookmarkStart w:id="1213" w:name="Tc_1ZhBy361-ESIAR5irfwKTg_1_2"/>
      <w:bookmarkStart w:id="1214" w:name="_17237392_1213_437f_8a5a_9f1235eaf5bf"/>
      <w:bookmarkStart w:id="1215" w:name="Tc__G9sCHCQ5ECNYAQzqqGzSg_9_5"/>
      <w:bookmarkStart w:id="1216" w:name="Tc_K8u_DS1TkUCsCErbDUCyVA_9_2"/>
      <w:bookmarkStart w:id="1217" w:name="Tc_JlPC4shaDECsDFVqJavNYA_9_0"/>
      <w:bookmarkStart w:id="1218" w:name="Tc_lsCCedi2yECEeUzPSvVhpg_8_0"/>
      <w:bookmarkStart w:id="1219" w:name="Tc_bG_CGkqR2Ey9hjMkNIMxjA_7_0"/>
      <w:bookmarkStart w:id="1220" w:name="Tc_7wz9b7-D5EKfLXzqpX8dtA_6_0"/>
      <w:bookmarkStart w:id="1221" w:name="Tc_McBYn2KbVEa_awCUVBwjyQ_4_0"/>
      <w:bookmarkStart w:id="1222" w:name="Tc_ufqUEasNQkiOYsHpe8eyKw_3_5"/>
      <w:bookmarkStart w:id="1223" w:name="Tc_EBqqnorsF0KOoObx59IKVw_3_2"/>
      <w:bookmarkStart w:id="1224" w:name="Tc_UbWw3UmETECEbe5SBiFPVw_3_0"/>
      <w:bookmarkStart w:id="1225" w:name="Tc_q33ifN-srUWJqUojwX2ZHg_2_0"/>
      <w:bookmarkStart w:id="1226" w:name="Tc_2an-wygYHkOmV55Cse_cdQ_1_5"/>
      <w:bookmarkStart w:id="1227" w:name="Tc_aGcC7H6EtkWujjRZj9nszg_1_2"/>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r>
        <w:rPr>
          <w:rFonts w:ascii="Times New Roman;Times;serif" w:hAnsi="Times New Roman;Times;serif"/>
          <w:b/>
          <w:i w:val="false"/>
          <w:caps w:val="false"/>
          <w:smallCaps w:val="false"/>
          <w:sz w:val="20"/>
        </w:rPr>
        <w:t>17.</w:t>
      </w: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income tax provision (benefit) for the years ended December 31, consisted of the following:</w:t>
      </w:r>
    </w:p>
    <w:p>
      <w:pPr>
        <w:pStyle w:val="TextBody"/>
        <w:bidi w:val="0"/>
        <w:spacing w:before="0" w:after="0"/>
        <w:ind w:left="0" w:right="0" w:hanging="0"/>
        <w:jc w:val="left"/>
        <w:rPr/>
      </w:pPr>
      <w:r>
        <w:rPr/>
        <w:t>​</w:t>
      </w:r>
    </w:p>
    <w:tbl>
      <w:tblPr>
        <w:tblW w:w="4252" w:type="dxa"/>
        <w:jc w:val="left"/>
        <w:tblInd w:w="0" w:type="dxa"/>
        <w:tblLayout w:type="fixed"/>
        <w:tblCellMar>
          <w:top w:w="0" w:type="dxa"/>
          <w:left w:w="0" w:type="dxa"/>
          <w:bottom w:w="0" w:type="dxa"/>
          <w:right w:w="0" w:type="dxa"/>
        </w:tblCellMar>
      </w:tblPr>
      <w:tblGrid>
        <w:gridCol w:w="1891"/>
        <w:gridCol w:w="346"/>
        <w:gridCol w:w="211"/>
        <w:gridCol w:w="571"/>
        <w:gridCol w:w="346"/>
        <w:gridCol w:w="211"/>
        <w:gridCol w:w="676"/>
      </w:tblGrid>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62585" cy="175260"/>
                      <wp:effectExtent l="0" t="0" r="0" b="0"/>
                      <wp:wrapNone/>
                      <wp:docPr id="345" name="Frame3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29260" cy="175260"/>
                      <wp:effectExtent l="0" t="0" r="0" b="0"/>
                      <wp:wrapNone/>
                      <wp:docPr id="348" name="Frame3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r>
      <w:tr>
        <w:trPr/>
        <w:tc>
          <w:tcPr>
            <w:tcW w:w="1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provision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1,415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reflects a reconciliation of the U.S. federal statutory income tax rates to the Company’s effective income tax rates for the year ended December 31, 2025:</w:t>
      </w:r>
    </w:p>
    <w:p>
      <w:pPr>
        <w:pStyle w:val="TextBody"/>
        <w:bidi w:val="0"/>
        <w:spacing w:before="0" w:after="240"/>
        <w:ind w:left="0" w:right="0" w:hanging="0"/>
        <w:jc w:val="center"/>
        <w:rPr/>
      </w:pPr>
      <w:r>
        <w:rPr/>
        <w:t>​</w:t>
      </w:r>
    </w:p>
    <w:tbl>
      <w:tblPr>
        <w:tblW w:w="5766" w:type="dxa"/>
        <w:jc w:val="left"/>
        <w:tblInd w:w="0" w:type="dxa"/>
        <w:tblLayout w:type="fixed"/>
        <w:tblCellMar>
          <w:top w:w="0" w:type="dxa"/>
          <w:left w:w="0" w:type="dxa"/>
          <w:bottom w:w="0" w:type="dxa"/>
          <w:right w:w="0" w:type="dxa"/>
        </w:tblCellMar>
      </w:tblPr>
      <w:tblGrid>
        <w:gridCol w:w="3481"/>
        <w:gridCol w:w="346"/>
        <w:gridCol w:w="691"/>
        <w:gridCol w:w="346"/>
        <w:gridCol w:w="58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210435" cy="175260"/>
                      <wp:effectExtent l="0" t="0" r="0" b="0"/>
                      <wp:wrapNone/>
                      <wp:docPr id="349" name="Frame34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38785" cy="175260"/>
                      <wp:effectExtent l="0" t="0" r="0" b="0"/>
                      <wp:wrapNone/>
                      <wp:docPr id="351" name="Frame3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72110" cy="175260"/>
                      <wp:effectExtent l="0" t="0" r="0" b="0"/>
                      <wp:wrapNone/>
                      <wp:docPr id="353" name="Frame35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0660" cy="175260"/>
                      <wp:effectExtent l="0" t="0" r="0" b="0"/>
                      <wp:wrapNone/>
                      <wp:docPr id="354" name="Frame3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rate</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State income taxes, net of federal benefit</w:t>
            </w:r>
            <w:r>
              <w:rPr>
                <w:rFonts w:ascii="Times New Roman;Times;serif" w:hAnsi="Times New Roman;Times;serif"/>
                <w:b w:val="false"/>
                <w:i w:val="false"/>
                <w:caps w:val="false"/>
                <w:smallCaps w:val="false"/>
                <w:sz w:val="15"/>
              </w:rPr>
              <w:t>1</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meals and entertainment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Gain/(loss) on the fair value of warrants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831 (B)(2) election</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adjustments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rate</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The state and local income tax effect reflects an overall net state income tax benefit for the year, with more than 90% attributable to NY. The state income tax benefit was partially offset by state income tax expense, with CA, IL, NJ and TX representing more than 85% of the offsetting income tax expense.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reflects a reconciliation of the U.S. federal statutory income tax rates to the Company’s effective income tax rates for the year ended December 31, 2024:</w:t>
      </w:r>
    </w:p>
    <w:p>
      <w:pPr>
        <w:pStyle w:val="TextBody"/>
        <w:bidi w:val="0"/>
        <w:spacing w:before="0" w:after="0"/>
        <w:ind w:left="0" w:right="0" w:hanging="0"/>
        <w:jc w:val="left"/>
        <w:rPr/>
      </w:pPr>
      <w:r>
        <w:rPr/>
        <w:t>​</w:t>
      </w:r>
    </w:p>
    <w:tbl>
      <w:tblPr>
        <w:tblW w:w="5706" w:type="dxa"/>
        <w:jc w:val="left"/>
        <w:tblInd w:w="0" w:type="dxa"/>
        <w:tblLayout w:type="fixed"/>
        <w:tblCellMar>
          <w:top w:w="0" w:type="dxa"/>
          <w:left w:w="0" w:type="dxa"/>
          <w:bottom w:w="0" w:type="dxa"/>
          <w:right w:w="0" w:type="dxa"/>
        </w:tblCellMar>
      </w:tblPr>
      <w:tblGrid>
        <w:gridCol w:w="3421"/>
        <w:gridCol w:w="346"/>
        <w:gridCol w:w="691"/>
        <w:gridCol w:w="346"/>
        <w:gridCol w:w="586"/>
        <w:gridCol w:w="31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72335" cy="175260"/>
                      <wp:effectExtent l="0" t="0" r="0" b="0"/>
                      <wp:wrapNone/>
                      <wp:docPr id="355" name="Frame355"/>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38785" cy="175260"/>
                      <wp:effectExtent l="0" t="0" r="0" b="0"/>
                      <wp:wrapNone/>
                      <wp:docPr id="357" name="Frame3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72110" cy="175260"/>
                      <wp:effectExtent l="0" t="0" r="0" b="0"/>
                      <wp:wrapNone/>
                      <wp:docPr id="359" name="Frame35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0660" cy="175260"/>
                      <wp:effectExtent l="0" t="0" r="0" b="0"/>
                      <wp:wrapNone/>
                      <wp:docPr id="360" name="Frame3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rate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 net of federal benefit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meals and entertainment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transaction costs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Gain/(loss) on the fair value of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831 (B)(2) election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pass through entities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true-up</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rate</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28" w:name="Tc_zUAvDB9DwUaT1J2gC_-XmA_13_5"/>
      <w:bookmarkStart w:id="1229" w:name="Tc_A2t8mAnxV0WHXYQF3m1sdg_13_2"/>
      <w:bookmarkStart w:id="1230" w:name="Tc_2jxP7OG2tk6KMlPIajHMaQ_13_0"/>
      <w:bookmarkStart w:id="1231" w:name="Tc_vzXf26TS0Ea9kDvY_Q8l0A_12_3"/>
      <w:bookmarkStart w:id="1232" w:name="Tc_KqYTBg_d90avnEhy3Yzblw_12_0"/>
      <w:bookmarkStart w:id="1233" w:name="Tc_IKOt3848L0WILulro5dcbQ_11_0"/>
      <w:bookmarkStart w:id="1234" w:name="Tc_Xyi0K_D-Tk-B-Amyh4MABA_10_0"/>
      <w:bookmarkStart w:id="1235" w:name="Tc_dwbNLCup-0KW4XP-Sr46IA_9_6"/>
      <w:bookmarkStart w:id="1236" w:name="Tc_pSCLsnWihEi1tP_7C8IXFQ_9_0"/>
      <w:bookmarkStart w:id="1237" w:name="Tc_FXF_2gAK90S35aA5cJZ_MQ_8_6"/>
      <w:bookmarkStart w:id="1238" w:name="Tc_aiNq77NoDEy4FoZu88JyBA_8_0"/>
      <w:bookmarkStart w:id="1239" w:name="Tc_J6ojGD-NL0eTuVxsHfQegQ_7_6"/>
      <w:bookmarkStart w:id="1240" w:name="Tc_caSHKs2t00-sYQ6uGpf_PQ_7_0"/>
      <w:bookmarkStart w:id="1241" w:name="Tc_yMfkdT0CTUK2ibHDhP-b3A_6_0"/>
      <w:bookmarkStart w:id="1242" w:name="Tc_rgmfko9xjEm_GwlcHBd0kQ_5_0"/>
      <w:bookmarkStart w:id="1243" w:name="Tc_FAfWDUlwAkuqDJ2ix45x5w_4_0"/>
      <w:bookmarkStart w:id="1244" w:name="Tc_Ie-92-v_XkORzf3_yeijEw_3_5"/>
      <w:bookmarkStart w:id="1245" w:name="Tc_-gksylDvIk647jS2djwlKg_3_2"/>
      <w:bookmarkStart w:id="1246" w:name="Tc_PHBN50d6iki2C3dYJUh-0A_3_0"/>
      <w:bookmarkStart w:id="1247" w:name="Tc_0SRo1zn3FUKCPCEGPVL5yA_2_0"/>
      <w:bookmarkStart w:id="1248" w:name="Tc_4s5QivdSJka-sG8IKT59og_1_5"/>
      <w:bookmarkStart w:id="1249" w:name="Tc_oR--RHA4-EOMKQuWPCMp6g_1_2"/>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r>
        <w:rPr>
          <w:rFonts w:ascii="Times New Roman;Times;serif" w:hAnsi="Times New Roman;Times;serif"/>
          <w:b/>
          <w:i w:val="false"/>
          <w:caps w:val="false"/>
          <w:smallCaps w:val="false"/>
          <w:sz w:val="20"/>
        </w:rPr>
        <w:t>17.</w:t>
      </w:r>
      <w:r>
        <w:rPr>
          <w:rFonts w:ascii="Times New Roman;Times;serif" w:hAnsi="Times New Roman;Times;serif"/>
          <w:b/>
          <w:sz w:val="20"/>
        </w:rPr>
        <w:t xml:space="preserve">INCOME TAXES </w:t>
      </w:r>
      <w:r>
        <w:rPr>
          <w:rFonts w:ascii="Times New Roman;Times;serif" w:hAnsi="Times New Roman;Times;serif"/>
          <w:b/>
          <w:i/>
          <w:sz w:val="20"/>
        </w:rPr>
        <w:t>(continued)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Deferred Taxes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Deferred tax assets and liabilities are determined based on the temporary differences between the financial statement and tax bases of assets and liabilities as measured by the enacted tax rates. Temporary differences, and net operating loss carryforwards that give rise to deferred tax assets and liabilities are summarized as follows as of December 31:</w:t>
      </w:r>
    </w:p>
    <w:p>
      <w:pPr>
        <w:pStyle w:val="TextBody"/>
        <w:bidi w:val="0"/>
        <w:spacing w:before="0" w:after="0"/>
        <w:ind w:left="0" w:right="0" w:hanging="0"/>
        <w:jc w:val="left"/>
        <w:rPr/>
      </w:pPr>
      <w:r>
        <w:rPr/>
        <w:t>​</w:t>
      </w:r>
    </w:p>
    <w:tbl>
      <w:tblPr>
        <w:tblW w:w="8197" w:type="dxa"/>
        <w:jc w:val="left"/>
        <w:tblInd w:w="0" w:type="dxa"/>
        <w:tblLayout w:type="fixed"/>
        <w:tblCellMar>
          <w:top w:w="0" w:type="dxa"/>
          <w:left w:w="0" w:type="dxa"/>
          <w:bottom w:w="0" w:type="dxa"/>
          <w:right w:w="0" w:type="dxa"/>
        </w:tblCellMar>
      </w:tblPr>
      <w:tblGrid>
        <w:gridCol w:w="5926"/>
        <w:gridCol w:w="346"/>
        <w:gridCol w:w="211"/>
        <w:gridCol w:w="571"/>
        <w:gridCol w:w="346"/>
        <w:gridCol w:w="211"/>
        <w:gridCol w:w="586"/>
      </w:tblGrid>
      <w:tr>
        <w:trPr/>
        <w:tc>
          <w:tcPr>
            <w:tcW w:w="5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62585" cy="175260"/>
                      <wp:effectExtent l="0" t="0" r="0" b="0"/>
                      <wp:wrapNone/>
                      <wp:docPr id="363" name="Frame3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72110" cy="175260"/>
                      <wp:effectExtent l="0" t="0" r="0" b="0"/>
                      <wp:wrapNone/>
                      <wp:docPr id="366" name="Frame36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center"/>
              <w:rPr/>
            </w:pPr>
            <w:r>
              <w:rPr/>
              <w:t>​</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IRC 163(j) interest limitation, carryover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 and hedging activities –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5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5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and 204, the net deferred tax asset is included in other assets on the accompanying consolidated statements of financial condition.</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Net Operating Losses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At December 31, 2025, the Company and its subsidiaries had federal and state net operating loss carry forwards of approximately $1.1 million and $0.6 million, respectively. At December 31, 2024, the Company had federal and state net operating loss carryforwards of approximately $1.0 million and $1.8 million, respectively. These carry forward losses are available to offset future U.S. federal and state taxable income and are not subject to IRC Section 382 limitations. All federal net operating losses being carried forward were incurred in tax years beginning after December 31, 2017, and therefore will carry forward indefinitely. The state net operating losses will start to expire December 31, 2038.</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Valuation Allowance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provides for recognition of deferred tax assets if the realization of such assets is more likely than not to occur in accordance with accounting standards that address income taxes. Significant management judgment is required in determining the period in which the reversal of a valuation allowance should occur. The Company has considered all available evidence, both positive and negative, such as historical levels of income and future forecasts of taxable income amongst other items, in determining its valuation allowance and has concluded that no valuation allowance is warranted as of December 31, 2025. As of December 31, 2024 the valuation allowance amounted to $529.</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INCOME TAXES </w:t>
      </w:r>
      <w:r>
        <w:rPr>
          <w:rFonts w:ascii="Times New Roman;Times;serif" w:hAnsi="Times New Roman;Times;serif"/>
          <w:b/>
          <w:i/>
          <w:sz w:val="20"/>
        </w:rPr>
        <w:t>(continued)</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Unrecognized Tax Benefits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Based on the Company’s evaluation, it has been concluded that there are no material uncertain tax positions requiring recognition in the Company’s consolidated financial statements for the years ended December 31, 2025 and 2024 and the Company does not anticipate any material changes over the next twelve months.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Company’s policy for recording interest and penalties associated with unrecognized tax benefits is to record such interest and penalties as interest expense and other expense, respectively. There were no amounts accrued for interest or penalties on unrecognized tax benefits for the years ended December 31, 2025 and 2024. Management does not expect any material changes in its unrecognized tax benefits in the next year.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files income tax returns, including returns for its subsidiaries, with federal and state jurisdictions and is subject to examination by various taxing authorities. The tax years of 2022 to 2024 remain open to examination in the federal jurisdiction. The tax years of 2021 to 2024 remain open to examination in the state jurisdiction. The Company is not currently under examination for any tax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50" w:name="Tc_Hnj5n8Tz4kyg8-q8AlnKog_7_4"/>
      <w:bookmarkStart w:id="1251" w:name="Tc_bboTlafW8Eamu9456CgAgw_7_0"/>
      <w:bookmarkStart w:id="1252" w:name="Tc_GmywGR53vU2gzlRBoVqlIg_6_4"/>
      <w:bookmarkStart w:id="1253" w:name="Tc__QoT-IY43kS5QaE0G0Ts6w_6_0"/>
      <w:bookmarkStart w:id="1254" w:name="Tc_c1hVDKtSdEaCKDOtmZ3__g_5_0"/>
      <w:bookmarkStart w:id="1255" w:name="Tc_1lQu2M6oA0CtHwdT8tDnLQ_4_0"/>
      <w:bookmarkStart w:id="1256" w:name="Tc_c_-ujvicK0unFTnLpNASYw_3_0"/>
      <w:bookmarkStart w:id="1257" w:name="Tc_ylFXrgrk8ky9yUD_Gzf_Lw_2_4"/>
      <w:bookmarkStart w:id="1258" w:name="Tc_28-trAvWUUy3QRXwX7bPDA_2_2"/>
      <w:bookmarkStart w:id="1259" w:name="Tc_iv3ZXPK04UW-Qwnv9sz7bg_1_4"/>
      <w:bookmarkStart w:id="1260" w:name="Tc_NKWYJSxFD0qV7GWpSxCrOg_1_2"/>
      <w:bookmarkStart w:id="1261" w:name="_6e86e773_aac7_4c58_81d8_49bace5c7f1f"/>
      <w:bookmarkStart w:id="1262" w:name="Tc_lb_zNstiVE-7Lo3YHdckag_13_5"/>
      <w:bookmarkStart w:id="1263" w:name="Tc_vIP5mVm8fkq7igQm-FdD7Q_13_2"/>
      <w:bookmarkStart w:id="1264" w:name="Tc_XsALoqCTWkGBWPRPAK1uuA_13_0"/>
      <w:bookmarkStart w:id="1265" w:name="Tc_UFn2ZBmOqkiRCgjgZCghdA_12_5"/>
      <w:bookmarkStart w:id="1266" w:name="Tc_R4O9wxbDdUiKt2DamNlh7A_12_2"/>
      <w:bookmarkStart w:id="1267" w:name="Tc_c0bX6GROzkC973z0Vd3vGQ_12_0"/>
      <w:bookmarkStart w:id="1268" w:name="Tc_JCSbdspxUk2ku5wA6XBisQ_11_0"/>
      <w:bookmarkStart w:id="1269" w:name="Tc_g_AXD95-lUiS9UTRQYaRmw_10_0"/>
      <w:bookmarkStart w:id="1270" w:name="Tc_TeF4-X_nbE22rqzKD8oTCA_9_6"/>
      <w:bookmarkStart w:id="1271" w:name="Tc_goshhOBHzEWHGwZ8HyZJfg_9_0"/>
      <w:bookmarkStart w:id="1272" w:name="Tc_ll3vxsD-7UW99hX5dpN37g_8_0"/>
      <w:bookmarkStart w:id="1273" w:name="Tc_1OD1S3qVDESjouZSm2t4dA_7_0"/>
      <w:bookmarkStart w:id="1274" w:name="Tc_j6NxYWtz-kC4DARq53-fxA_6_0"/>
      <w:bookmarkStart w:id="1275" w:name="Tc_tsZhvlTGVk-XrD_PWvEgzA_5_0"/>
      <w:bookmarkStart w:id="1276" w:name="Tc_v6c7GHsxxEGZyz_wLqSpmw_4_0"/>
      <w:bookmarkStart w:id="1277" w:name="Tc_eKMrd14shUqU6BONu06YDA_3_5"/>
      <w:bookmarkStart w:id="1278" w:name="Tc_FcZR5h0vjEunSlvD2gmeXA_3_2"/>
      <w:bookmarkStart w:id="1279" w:name="Tc_-kA8jy_vAEe8EWg5Fus0Vw_3_0"/>
      <w:bookmarkStart w:id="1280" w:name="Tc_3hPPBEfriEmfbbooDqy_uw_2_5"/>
      <w:bookmarkStart w:id="1281" w:name="Tc_EK3DIEQvJk-qX3ndiIuNtA_2_2"/>
      <w:bookmarkStart w:id="1282" w:name="Tc_dDLpBfKapEyalA01jfsqTA_1_5"/>
      <w:bookmarkStart w:id="1283" w:name="Tc_CnikPwm9LEaBqNz830xyUQ_1_2"/>
      <w:bookmarkStart w:id="1284" w:name="_7f253560_a980_4d49_adfb_b8388ec5dfa5"/>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r>
        <w:rPr>
          <w:rFonts w:ascii="Times New Roman;Times;serif" w:hAnsi="Times New Roman;Times;serif"/>
          <w:b/>
          <w:i w:val="false"/>
          <w:caps w:val="false"/>
          <w:smallCaps w:val="false"/>
          <w:sz w:val="20"/>
        </w:rPr>
        <w:t>18.</w:t>
      </w:r>
      <w:r>
        <w:rPr>
          <w:rFonts w:ascii="Times New Roman;Times;serif" w:hAnsi="Times New Roman;Times;serif"/>
          <w:b/>
          <w:sz w:val="20"/>
        </w:rPr>
        <w:t>NET INCOME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Series A and Series B Preferred Stock does not have similar economic rights to the common stock and management does not consider them to be in substance common shares for earnings per share (“EPS”) purposes. As a result, the weighted average Series A and Series B Preferred Stock outstanding during the period was not included in the calculation of weighted average common stock outstanding. Diluted earnings per share is computed by including the dilutive effect of the conversion of all potential common stock equivalents (which includes warrants, Series A Preferred Stock, Series B Preferred Stock, options and unvested restricted stock) and accordingly, as applicable adjusting net income to add back any changes in earnings that reduce earnings per common share in the period associated with the potential common stock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computation of loss per share and weighted average of the Company’s common stock outstanding for the years ended December 31, 2025 and 2024 is as follows </w:t>
      </w:r>
      <w:r>
        <w:rPr>
          <w:rFonts w:ascii="Times New Roman;Times;serif" w:hAnsi="Times New Roman;Times;serif"/>
          <w:i/>
          <w:sz w:val="20"/>
        </w:rPr>
        <w:t>(in thousands)</w:t>
      </w:r>
      <w:r>
        <w:rPr>
          <w:rFonts w:ascii="Times New Roman;Times;serif" w:hAnsi="Times New Roman;Times;serif"/>
          <w:sz w:val="20"/>
        </w:rPr>
        <w:t>:</w:t>
      </w:r>
    </w:p>
    <w:tbl>
      <w:tblPr>
        <w:tblW w:w="7948" w:type="dxa"/>
        <w:jc w:val="left"/>
        <w:tblInd w:w="0" w:type="dxa"/>
        <w:tblLayout w:type="fixed"/>
        <w:tblCellMar>
          <w:top w:w="0" w:type="dxa"/>
          <w:left w:w="0" w:type="dxa"/>
          <w:bottom w:w="0" w:type="dxa"/>
          <w:right w:w="0" w:type="dxa"/>
        </w:tblCellMar>
      </w:tblPr>
      <w:tblGrid>
        <w:gridCol w:w="4351"/>
        <w:gridCol w:w="346"/>
        <w:gridCol w:w="362"/>
        <w:gridCol w:w="1168"/>
        <w:gridCol w:w="146"/>
        <w:gridCol w:w="356"/>
        <w:gridCol w:w="1219"/>
      </w:tblGrid>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29870" cy="175260"/>
                      <wp:effectExtent l="0" t="0" r="0" b="0"/>
                      <wp:wrapNone/>
                      <wp:docPr id="368" name="Frame368"/>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741680" cy="175260"/>
                      <wp:effectExtent l="0" t="0" r="0" b="0"/>
                      <wp:wrapNone/>
                      <wp:docPr id="369" name="Frame369"/>
                      <a:graphic xmlns:a="http://schemas.openxmlformats.org/drawingml/2006/main">
                        <a:graphicData uri="http://schemas.microsoft.com/office/word/2010/wordprocessingShape">
                          <wps:wsp>
                            <wps:cNvSpPr txBox="1"/>
                            <wps:spPr>
                              <a:xfrm>
                                <a:off x="0" y="0"/>
                                <a:ext cx="741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2710" cy="175260"/>
                      <wp:effectExtent l="0" t="0" r="0" b="0"/>
                      <wp:wrapNone/>
                      <wp:docPr id="370" name="Frame3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26060" cy="175260"/>
                      <wp:effectExtent l="0" t="0" r="0" b="0"/>
                      <wp:wrapNone/>
                      <wp:docPr id="371" name="Frame37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774065" cy="175260"/>
                      <wp:effectExtent l="0" t="0" r="0" b="0"/>
                      <wp:wrapNone/>
                      <wp:docPr id="372" name="Frame372"/>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146" w:type="dxa"/>
            <w:tcBorders/>
            <w:vAlign w:val="center"/>
          </w:tcPr>
          <w:p>
            <w:pPr>
              <w:pStyle w:val="TableContents"/>
              <w:bidi w:val="0"/>
              <w:spacing w:before="0" w:after="0"/>
              <w:ind w:left="0" w:right="0" w:hanging="0"/>
              <w:jc w:val="center"/>
              <w:rPr/>
            </w:pPr>
            <w:r>
              <w:rPr/>
              <w:t> </w:t>
            </w:r>
          </w:p>
        </w:tc>
        <w:tc>
          <w:tcPr>
            <w:tcW w:w="15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46" w:type="dxa"/>
            <w:tcBorders/>
            <w:vAlign w:val="center"/>
          </w:tcPr>
          <w:p>
            <w:pPr>
              <w:pStyle w:val="TableContents"/>
              <w:bidi w:val="0"/>
              <w:spacing w:before="0" w:after="0"/>
              <w:ind w:left="0" w:right="0" w:hanging="0"/>
              <w:jc w:val="left"/>
              <w:rPr/>
            </w:pPr>
            <w:r>
              <w:rPr/>
              <w:t>​</w:t>
            </w:r>
          </w:p>
        </w:tc>
        <w:tc>
          <w:tcPr>
            <w:tcW w:w="1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w:t>
            </w:r>
          </w:p>
        </w:tc>
        <w:tc>
          <w:tcPr>
            <w:tcW w:w="14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(5,292)</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preferred dividends</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1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c>
          <w:tcPr>
            <w:tcW w:w="1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B preferred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46" w:type="dxa"/>
            <w:tcBorders/>
            <w:shd w:fill="CCEEFF" w:val="cle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available to common shareholders</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1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1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(6,417)</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for basic and diluted calculation</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116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1219" w:type="dxa"/>
            <w:tcBorders/>
            <w:shd w:fill="CCEEFF" w:val="clear"/>
            <w:vAlign w:val="center"/>
          </w:tcPr>
          <w:p>
            <w:pPr>
              <w:pStyle w:val="TableContents"/>
              <w:bidi w:val="0"/>
              <w:spacing w:before="0" w:after="0"/>
              <w:ind w:left="0" w:right="0" w:hanging="0"/>
              <w:jc w:val="right"/>
              <w:rPr/>
            </w:pPr>
            <w:r>
              <w:rPr/>
              <w:t>​</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shares used in basic computation</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1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16,657</w:t>
            </w:r>
          </w:p>
        </w:tc>
        <w:tc>
          <w:tcPr>
            <w:tcW w:w="1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16,593</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unvested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46" w:type="dxa"/>
            <w:tcBorders/>
            <w:shd w:fill="CCEEFF" w:val="cle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shares used in diluted computation</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1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16,975</w:t>
            </w:r>
          </w:p>
        </w:tc>
        <w:tc>
          <w:tcPr>
            <w:tcW w:w="1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16,593</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116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1219" w:type="dxa"/>
            <w:tcBorders/>
            <w:shd w:fill="CCEEFF" w:val="clear"/>
            <w:vAlign w:val="center"/>
          </w:tcPr>
          <w:p>
            <w:pPr>
              <w:pStyle w:val="TableContents"/>
              <w:bidi w:val="0"/>
              <w:spacing w:before="0" w:after="0"/>
              <w:ind w:left="0" w:right="0" w:hanging="0"/>
              <w:jc w:val="left"/>
              <w:rPr/>
            </w:pPr>
            <w:r>
              <w:rPr/>
              <w:t>​</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1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14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details the securities that have been excluded from the calculation of weighted-average shares for diluted earnings per share for the period presented as they were anti-dilutive </w:t>
      </w:r>
      <w:r>
        <w:rPr>
          <w:rFonts w:ascii="Times New Roman;Times;serif" w:hAnsi="Times New Roman;Times;serif"/>
          <w:i/>
          <w:sz w:val="20"/>
        </w:rPr>
        <w:t>(in thousands)</w:t>
      </w:r>
      <w:r>
        <w:rPr>
          <w:rFonts w:ascii="Times New Roman;Times;serif" w:hAnsi="Times New Roman;Times;serif"/>
          <w:sz w:val="20"/>
        </w:rPr>
        <w:t>.</w:t>
      </w:r>
    </w:p>
    <w:tbl>
      <w:tblPr>
        <w:tblW w:w="6410" w:type="dxa"/>
        <w:jc w:val="left"/>
        <w:tblInd w:w="0" w:type="dxa"/>
        <w:tblLayout w:type="fixed"/>
        <w:tblCellMar>
          <w:top w:w="0" w:type="dxa"/>
          <w:left w:w="0" w:type="dxa"/>
          <w:bottom w:w="0" w:type="dxa"/>
          <w:right w:w="0" w:type="dxa"/>
        </w:tblCellMar>
      </w:tblPr>
      <w:tblGrid>
        <w:gridCol w:w="2611"/>
        <w:gridCol w:w="346"/>
        <w:gridCol w:w="1531"/>
        <w:gridCol w:w="346"/>
        <w:gridCol w:w="1576"/>
      </w:tblGrid>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972185" cy="175260"/>
                      <wp:effectExtent l="0" t="0" r="0" b="0"/>
                      <wp:wrapNone/>
                      <wp:docPr id="374" name="Frame374"/>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000760" cy="175260"/>
                      <wp:effectExtent l="0" t="0" r="0" b="0"/>
                      <wp:wrapNone/>
                      <wp:docPr id="376" name="Frame37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0"/>
              <w:ind w:left="0" w:right="0" w:hanging="0"/>
              <w:jc w:val="left"/>
              <w:rPr/>
            </w:pPr>
            <w:r>
              <w:rPr/>
              <w:t>  ​ ​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c>
          <w:tcPr>
            <w:tcW w:w="346" w:type="dxa"/>
            <w:tcBorders/>
            <w:shd w:fill="CCEEFF" w:val="clear"/>
            <w:vAlign w:val="center"/>
          </w:tcPr>
          <w:p>
            <w:pPr>
              <w:pStyle w:val="TableContents"/>
              <w:bidi w:val="0"/>
              <w:spacing w:before="0" w:after="0"/>
              <w:ind w:left="0" w:right="0" w:hanging="0"/>
              <w:jc w:val="left"/>
              <w:rPr/>
            </w:pPr>
            <w:r>
              <w:rPr/>
              <w:t>  ​ ​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15,148</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preferred stock</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w:t>
            </w:r>
          </w:p>
        </w:tc>
        <w:tc>
          <w:tcPr>
            <w:tcW w:w="3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B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vAlign w:val="center"/>
          </w:tcPr>
          <w:p>
            <w:pPr>
              <w:pStyle w:val="TableContents"/>
              <w:bidi w:val="0"/>
              <w:spacing w:before="0" w:after="0"/>
              <w:ind w:left="0" w:right="0" w:hanging="0"/>
              <w:jc w:val="left"/>
              <w:rPr/>
            </w:pPr>
            <w:r>
              <w:rPr/>
              <w:t>  ​ ​ ​</w:t>
            </w:r>
          </w:p>
        </w:tc>
        <w:tc>
          <w:tcPr>
            <w:tcW w:w="1576"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preparation of the current period financial statements, the Company identified an immaterial error in the calculation of EPS for the prior periods. The error did not impact net income, total equity, or cash flows. The EPS figures for the prior periods have been revised accordingly in the comparative presentation. Management has concluded that the correction is not material to the prior period financial statements and does not require restatement.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conditions may exist as of the date the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assessment of a contingency indicates that it is probable that a material loss has been incurred and the amount of the liability can be estimated, then the estimated liability would be accrued in the accompanying consolidated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can be no assurance that such matters will not materially and adversely affect the Company’s business, financial position, and results of operations or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 defendant or respondent in various pending and threatened arbitrations, administrative proceedings and lawsuits seeking compensatory damages. Claim amounts are infrequently indicative of the actual amounts the Company will be liable for, if any. Many of these claimants also seek, in addition to compensatory damages, punitive or treble damages, and all seek interest, costs and fees. These matters arise in the normal course of business. The Company intends to vigorously defend itself in these actions, and the ultimate outcome of these matters cannot be determined at this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many lawsuits, arbitrations, and regulatory proceedings, it is not possible to determine whether a liability has been incurred or to estimate the amount of that liability until the matter is close to resolution. However, accruals are reviewed regularly and are adjusted to reflect management’s estimates of the impact of developments, rulings, advice of counsel and any other information pertinent to a particular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the inherent difficulty in predicting the ultimate outcome of legal and regulatory actions, management cannot predict with certainty the eventual loss or range of loss related to such matters. The Company believes, based upon current information, that the outcome of any such legal proceeding, claim, dispute, or investigation will not have a material effect on the Company’s financial position, results of operations or cash flows. However, the actual outcomes of such legal proceedings, claims, disputes, or investigations could be material to the Company’s operating results and cash flows for a particular future period as additional information is obtained.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PKSI, a subsidiary of the Company, has responded to an informal inquiry from FINRA in connection with its accounting of a transaction that occurred during the year ending December 31, 2025. The accounting for the transaction in question has been accounted for in the accompanying consolidated financial statements. The Company believes, based upon current information, that the outcome of this inquiry will not have a material effect on our financial position, results of operations or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 xml:space="preserve">COMMITMENTS AND CONTINGENCIES </w:t>
      </w:r>
      <w:r>
        <w:rPr>
          <w:rFonts w:ascii="Times New Roman;Times;serif" w:hAnsi="Times New Roman;Times;serif"/>
          <w:b/>
          <w:i/>
          <w:sz w:val="20"/>
        </w:rPr>
        <w:t>(continued)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activities of the Company’s customers are transacted on either a cash or margin basis through the facilities of its clearing broker. In margin transactions, the clearing broker extends credit to the customers, subject to various regulatory and margin requirements, collateralized by cash and securities in the customer’s account. In connection with these activities, the clearing broker may also execute and clear customer transactions involving the sale of securities not yet purchased.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clearing broker monitors required margin levels daily and, pursuant to such guidelines, requires the customers to deposit additional collateral, or reduce positions, when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transactions may expose the Company to significant off-balance sheet risk in the event margin requirements are not sufficient to fully cover losses which the customers may incur. In the event the customers fail to satisfy their obligations to the clearing broker, the Company may be required to compensate the clearing broker for losses incurred on behalf of the customers.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through its clearing broker, seeks to control the risk associated with its customers’ activities by requiring customers to maintain margin collateral in compliance with various regulatory and internal guidelines. As of December 31, 2025 and 2024, management of the Company had not been notified by any clearing brokers, nor were they otherwise aware of any potential losses relating to this indemnification.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85" w:name="Tc_DJIp_8-U_06AkBJAJSOQWg_4_11"/>
      <w:bookmarkStart w:id="1286" w:name="Tc_tADqk3pxgUKiPWgzDVFGRg_4_9"/>
      <w:bookmarkStart w:id="1287" w:name="Tc_FmxfJGvFlESHJqOiU3B0QQ_4_8"/>
      <w:bookmarkStart w:id="1288" w:name="Tc_AdJfMRursEuKzWrkC7PnbA_4_5"/>
      <w:bookmarkStart w:id="1289" w:name="Tc_HpaguaRkDUK4aM8RDkiitA_4_3"/>
      <w:bookmarkStart w:id="1290" w:name="Tc_rlOJzG3Cr02U3S43IsfhvA_4_2"/>
      <w:bookmarkStart w:id="1291" w:name="Tc_GPUDCK9OMka1akt5T0s7JQ_4_0"/>
      <w:bookmarkStart w:id="1292" w:name="Tc_nDxxvYK3ZUuSprOZO2r1Nw_3_11"/>
      <w:bookmarkStart w:id="1293" w:name="Tc_JUPkGIaXZE2hCT_tNqFFHQ_3_9"/>
      <w:bookmarkStart w:id="1294" w:name="Tc_vVsvqwdcpUeWiSgERiAFPg_3_8"/>
      <w:bookmarkStart w:id="1295" w:name="Tc_DgdJvnRLSU65-MBxkX_fDw_3_5"/>
      <w:bookmarkStart w:id="1296" w:name="Tc_gDSVvSqGBEevIQBAdErs3g_3_3"/>
      <w:bookmarkStart w:id="1297" w:name="Tc_00oW57U6f0OrvTCQMMfwlQ_3_2"/>
      <w:bookmarkStart w:id="1298" w:name="Tc_ZRPSRx603ECo6wokyjPMiQ_3_0"/>
      <w:bookmarkStart w:id="1299" w:name="Tc_vplxQZcUI06kJbc5fdIs_w_2_11"/>
      <w:bookmarkStart w:id="1300" w:name="Tc_MBr7y1HahUWFvvo-6Aq_Gw_2_8"/>
      <w:bookmarkStart w:id="1301" w:name="Tc_FCJT7-8bIUO3mBmC-XHItg_2_5"/>
      <w:bookmarkStart w:id="1302" w:name="Tc_ZGS4CkU5REKKdwipW7VtQA_2_2"/>
      <w:bookmarkStart w:id="1303" w:name="Tc_kAkx97X7AE-0CxLs8yl1zA_2_0"/>
      <w:bookmarkStart w:id="1304" w:name="Tc_iqkjOIGcTka49Lo9ilyXLw_1_8"/>
      <w:bookmarkStart w:id="1305" w:name="Tc_dHFPUQitZkCUF8oNpnHnGA_1_2"/>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r>
        <w:rPr>
          <w:rFonts w:ascii="Times New Roman;Times;serif" w:hAnsi="Times New Roman;Times;serif"/>
          <w:b/>
          <w:i w:val="false"/>
          <w:caps w:val="false"/>
          <w:smallCaps w:val="false"/>
          <w:sz w:val="20"/>
        </w:rPr>
        <w:t>20.</w:t>
      </w:r>
      <w:r>
        <w:rPr>
          <w:rFonts w:ascii="Times New Roman;Times;serif" w:hAnsi="Times New Roman;Times;serif"/>
          <w:b/>
          <w:sz w:val="20"/>
        </w:rPr>
        <w:t>RELATED-PARTY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of the Company’s subsidiaries earn revenue from various related parties controlled by individuals that are members or officers of the Company. Summarized activity and balance as of and for the years ended December 31, 2025 and 2024 are as follows </w:t>
      </w:r>
      <w:r>
        <w:rPr>
          <w:rFonts w:ascii="Times New Roman;Times;serif" w:hAnsi="Times New Roman;Times;serif"/>
          <w:b/>
          <w:i/>
          <w:sz w:val="20"/>
        </w:rPr>
        <w:t>(in thousands)</w:t>
      </w:r>
      <w:r>
        <w:rPr>
          <w:rFonts w:ascii="Times New Roman;Times;serif" w:hAnsi="Times New Roman;Times;serif"/>
          <w:sz w:val="20"/>
        </w:rPr>
        <w:t>:</w:t>
      </w:r>
    </w:p>
    <w:p>
      <w:pPr>
        <w:pStyle w:val="TextBody"/>
        <w:bidi w:val="0"/>
        <w:spacing w:before="0" w:after="0"/>
        <w:ind w:left="0" w:right="0" w:hanging="0"/>
        <w:jc w:val="left"/>
        <w:rPr/>
      </w:pPr>
      <w:r>
        <w:rPr/>
        <w:t>​</w:t>
      </w:r>
    </w:p>
    <w:tbl>
      <w:tblPr>
        <w:tblW w:w="4873" w:type="dxa"/>
        <w:jc w:val="left"/>
        <w:tblInd w:w="0" w:type="dxa"/>
        <w:tblLayout w:type="fixed"/>
        <w:tblCellMar>
          <w:top w:w="0" w:type="dxa"/>
          <w:left w:w="0" w:type="dxa"/>
          <w:bottom w:w="0" w:type="dxa"/>
          <w:right w:w="0" w:type="dxa"/>
        </w:tblCellMar>
      </w:tblPr>
      <w:tblGrid>
        <w:gridCol w:w="856"/>
        <w:gridCol w:w="346"/>
        <w:gridCol w:w="211"/>
        <w:gridCol w:w="346"/>
        <w:gridCol w:w="346"/>
        <w:gridCol w:w="211"/>
        <w:gridCol w:w="571"/>
        <w:gridCol w:w="346"/>
        <w:gridCol w:w="211"/>
        <w:gridCol w:w="346"/>
        <w:gridCol w:w="346"/>
        <w:gridCol w:w="211"/>
        <w:gridCol w:w="526"/>
      </w:tblGrid>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62585" cy="175260"/>
                      <wp:effectExtent l="0" t="0" r="0" b="0"/>
                      <wp:wrapNone/>
                      <wp:docPr id="382" name="Frame3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34010" cy="175260"/>
                      <wp:effectExtent l="0" t="0" r="0" b="0"/>
                      <wp:wrapNone/>
                      <wp:docPr id="388" name="Frame38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w:t>
            </w:r>
          </w:p>
        </w:tc>
        <w:tc>
          <w:tcPr>
            <w:tcW w:w="16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Due from/(Due to)</w:t>
            </w:r>
          </w:p>
        </w:tc>
      </w:tr>
      <w:tr>
        <w:trPr/>
        <w:tc>
          <w:tcPr>
            <w:tcW w:w="8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Subsidiary</w:t>
            </w:r>
          </w:p>
        </w:tc>
        <w:tc>
          <w:tcPr>
            <w:tcW w:w="346" w:type="dxa"/>
            <w:tcBorders/>
            <w:vAlign w:val="center"/>
          </w:tcPr>
          <w:p>
            <w:pPr>
              <w:pStyle w:val="TableContents"/>
              <w:bidi w:val="0"/>
              <w:spacing w:before="0" w:after="1"/>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bl>
    <w:p>
      <w:pPr>
        <w:pStyle w:val="TextBody"/>
        <w:bidi w:val="0"/>
        <w:spacing w:before="0" w:after="24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revenue amounts and amounts due to and due from are included in commissions on the accompanying consolidated statements of operations and other assets on the consolidated statements of financial condition,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STOCKHOLDERS’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authorized to issue 57,500,000 shares consisting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2,000,000</w:t>
            </w:r>
            <w:r>
              <w:rPr>
                <w:caps w:val="false"/>
                <w:smallCaps w:val="false"/>
              </w:rPr>
              <w:t xml:space="preserve"> </w:t>
            </w:r>
            <w:r>
              <w:rPr>
                <w:rFonts w:ascii="Times New Roman;Times;serif" w:hAnsi="Times New Roman;Times;serif"/>
                <w:b w:val="false"/>
                <w:i w:val="false"/>
                <w:caps w:val="false"/>
                <w:smallCaps w:val="false"/>
                <w:sz w:val="20"/>
              </w:rPr>
              <w:t>shares of Series A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1,626,000</w:t>
            </w:r>
            <w:r>
              <w:rPr>
                <w:caps w:val="false"/>
                <w:smallCaps w:val="false"/>
              </w:rPr>
              <w:t xml:space="preserve"> </w:t>
            </w:r>
            <w:r>
              <w:rPr>
                <w:rFonts w:ascii="Times New Roman;Times;serif" w:hAnsi="Times New Roman;Times;serif"/>
                <w:b w:val="false"/>
                <w:i w:val="false"/>
                <w:caps w:val="false"/>
                <w:smallCaps w:val="false"/>
                <w:sz w:val="20"/>
              </w:rPr>
              <w:t>shares issued and outstanding</w:t>
            </w:r>
            <w:r>
              <w:rPr>
                <w:caps w:val="false"/>
                <w:smallCaps w:val="false"/>
              </w:rPr>
              <w:t xml:space="preserve"> </w:t>
            </w:r>
            <w:r>
              <w:rPr>
                <w:rFonts w:ascii="Times New Roman;Times;serif" w:hAnsi="Times New Roman;Times;serif"/>
                <w:b w:val="false"/>
                <w:i w:val="false"/>
                <w:caps w:val="false"/>
                <w:smallCaps w:val="false"/>
                <w:sz w:val="20"/>
              </w:rPr>
              <w:t xml:space="preserve">as of December 31, 2025;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500,000</w:t>
            </w:r>
            <w:r>
              <w:rPr>
                <w:caps w:val="false"/>
                <w:smallCaps w:val="false"/>
              </w:rPr>
              <w:t xml:space="preserve"> </w:t>
            </w:r>
            <w:r>
              <w:rPr>
                <w:rFonts w:ascii="Times New Roman;Times;serif" w:hAnsi="Times New Roman;Times;serif"/>
                <w:b w:val="false"/>
                <w:i w:val="false"/>
                <w:caps w:val="false"/>
                <w:smallCaps w:val="false"/>
                <w:sz w:val="20"/>
              </w:rPr>
              <w:t>shares of Series B Preferred Stock, par value $0.0001</w:t>
            </w:r>
            <w:r>
              <w:rPr>
                <w:caps w:val="false"/>
                <w:smallCaps w:val="false"/>
              </w:rPr>
              <w:t xml:space="preserve"> </w:t>
            </w:r>
            <w:r>
              <w:rPr>
                <w:rFonts w:ascii="Times New Roman;Times;serif" w:hAnsi="Times New Roman;Times;serif"/>
                <w:b w:val="false"/>
                <w:i w:val="false"/>
                <w:caps w:val="false"/>
                <w:smallCaps w:val="false"/>
                <w:sz w:val="20"/>
              </w:rPr>
              <w:t>per share, 150,000</w:t>
            </w:r>
            <w:r>
              <w:rPr>
                <w:caps w:val="false"/>
                <w:smallCaps w:val="false"/>
              </w:rPr>
              <w:t xml:space="preserve"> </w:t>
            </w:r>
            <w:r>
              <w:rPr>
                <w:rFonts w:ascii="Times New Roman;Times;serif" w:hAnsi="Times New Roman;Times;serif"/>
                <w:b w:val="false"/>
                <w:i w:val="false"/>
                <w:caps w:val="false"/>
                <w:smallCaps w:val="false"/>
                <w:sz w:val="20"/>
              </w:rPr>
              <w:t>shares issued and outstanding</w:t>
            </w:r>
            <w:r>
              <w:rPr>
                <w:caps w:val="false"/>
                <w:smallCaps w:val="false"/>
              </w:rPr>
              <w:t xml:space="preserve"> </w:t>
            </w:r>
            <w:r>
              <w:rPr>
                <w:rFonts w:ascii="Times New Roman;Times;serif" w:hAnsi="Times New Roman;Times;serif"/>
                <w:b w:val="false"/>
                <w:i w:val="false"/>
                <w:caps w:val="false"/>
                <w:smallCaps w:val="false"/>
                <w:sz w:val="20"/>
              </w:rPr>
              <w:t>as of December 31,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55,000,000</w:t>
            </w:r>
            <w:r>
              <w:rPr>
                <w:caps w:val="false"/>
                <w:smallCaps w:val="false"/>
              </w:rPr>
              <w:t xml:space="preserve"> </w:t>
            </w:r>
            <w:r>
              <w:rPr>
                <w:rFonts w:ascii="Times New Roman;Times;serif" w:hAnsi="Times New Roman;Times;serif"/>
                <w:b w:val="false"/>
                <w:i w:val="false"/>
                <w:caps w:val="false"/>
                <w:smallCaps w:val="false"/>
                <w:sz w:val="20"/>
              </w:rPr>
              <w:t>shares of Common Stock, par value $0.0001</w:t>
            </w:r>
            <w:r>
              <w:rPr>
                <w:caps w:val="false"/>
                <w:smallCaps w:val="false"/>
              </w:rPr>
              <w:t xml:space="preserve"> </w:t>
            </w:r>
            <w:r>
              <w:rPr>
                <w:rFonts w:ascii="Times New Roman;Times;serif" w:hAnsi="Times New Roman;Times;serif"/>
                <w:b w:val="false"/>
                <w:i w:val="false"/>
                <w:caps w:val="false"/>
                <w:smallCaps w:val="false"/>
                <w:sz w:val="20"/>
              </w:rPr>
              <w:t>per share, 16,716,000</w:t>
            </w:r>
            <w:r>
              <w:rPr>
                <w:caps w:val="false"/>
                <w:smallCaps w:val="false"/>
              </w:rPr>
              <w:t xml:space="preserve"> </w:t>
            </w:r>
            <w:r>
              <w:rPr>
                <w:rFonts w:ascii="Times New Roman;Times;serif" w:hAnsi="Times New Roman;Times;serif"/>
                <w:b w:val="false"/>
                <w:i w:val="false"/>
                <w:caps w:val="false"/>
                <w:smallCaps w:val="false"/>
                <w:sz w:val="20"/>
              </w:rPr>
              <w:t>shares issued and outstanding</w:t>
            </w:r>
            <w:r>
              <w:rPr>
                <w:caps w:val="false"/>
                <w:smallCaps w:val="false"/>
              </w:rPr>
              <w:t xml:space="preserve"> </w:t>
            </w:r>
            <w:r>
              <w:rPr>
                <w:rFonts w:ascii="Times New Roman;Times;serif" w:hAnsi="Times New Roman;Times;serif"/>
                <w:b w:val="false"/>
                <w:i w:val="false"/>
                <w:caps w:val="false"/>
                <w:smallCaps w:val="false"/>
                <w:sz w:val="20"/>
              </w:rPr>
              <w:t>as of December 31, 2025.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RETIREMENT PLAN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a 401(k) retirement plan for the benefit of its employees. Prior to January 1, 2025, PKSI and WEG each maintained their own respective 401(k) retirement plans for its employees. Effective January 1, 2025, the WEG plan was merged into the PKSI plan, then the PKSI plan was renamed the Binah Management Services 401(k) Profit Sharing Plan (the “Plan”). Contributions to the Plan are limited to a maximum of 3.5% of employee compensation and are based upon employee contributions. Employees must be 21 years of age and employed for three months to participate. For the year ended December 31, 2025, BMS contributed approximately $0.6 million to the Plan. For the year ended December 31, 2024, the PKSI contribution to the plan amounted to approximately $0.4 million. For the year ended December 31, 2024, WEG contributed approximately $0.03 million to its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NET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operates four registered broker-dealers that are subject to the SEC Uniform Net Capital Rule (Rule 15c3-1). This requires the Company to maintain certain minimum net capital requirements. At December 31, 2025 and 2024, all broker-dealers had net capital in excess of the required minimums.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CREDIT RISK AND CONCENTRATIONS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credit losses and, consequently, believes that its receivables credit risk exposure beyond such allowances is limited.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Effective with the consummation of the Business Combination, the Board confirmed Craig Gould as Chief Executive Officer (“CEO”) and David Shane as Chief Financial Officer (“CFO). The Company has concluded that the its Chief Operating Decision Maker (“CODM”) of the group includes the CEO and CFO of the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Management of the Company has determined that it has one reportable segment, given the common nature of the Company’s operations, products and services, and regulatory environment. The Company provides a platform of brokerage and investment advisory services to independent financial advisors and advisors at other financial services companies from which the Company derives its revenues and incurs expenses. See Note 5 – </w:t>
      </w:r>
      <w:r>
        <w:rPr>
          <w:rFonts w:ascii="Times New Roman;Times;serif" w:hAnsi="Times New Roman;Times;serif"/>
          <w:i/>
          <w:sz w:val="20"/>
        </w:rPr>
        <w:t>Revenue from Contracts with Customers</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CODM regularly reviews net income/(loss) before the provision or benefit for income taxes as presented in the Company’s consolidated statements of operations for purposes of assessing performance and making decisions regarding the allocation of resources. Expenses regularly reviewed by the CODM include those line items reported on the Company’s consolidated statement of operations, the most significant of which includes commissions and fees, employee compensation and benefits and professional fees. See the consolidated statements of operations and Note 3 – </w:t>
      </w:r>
      <w:r>
        <w:rPr>
          <w:rFonts w:ascii="Times New Roman;Times;serif" w:hAnsi="Times New Roman;Times;serif"/>
          <w:i/>
          <w:sz w:val="20"/>
        </w:rPr>
        <w:t>Summary of Significant Accounts Policies</w:t>
      </w:r>
      <w:r>
        <w:rPr>
          <w:rFonts w:ascii="Times New Roman;Times;serif" w:hAnsi="Times New Roman;Times;serif"/>
          <w:sz w:val="20"/>
        </w:rPr>
        <w:t xml:space="preserve"> for additional information about these lines items and the related accounting policies.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26.</w:t>
      </w: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that occurred after the balance sheet date up to the date that the consolidated financial statements were available to be issued.</w:t>
      </w:r>
    </w:p>
    <w:p>
      <w:pPr>
        <w:pStyle w:val="TextBody"/>
        <w:bidi w:val="0"/>
        <w:spacing w:before="0" w:after="240"/>
        <w:ind w:left="0" w:right="0" w:hanging="0"/>
        <w:jc w:val="both"/>
        <w:rPr/>
      </w:pPr>
      <w:bookmarkStart w:id="1306" w:name="disclosedabovenoted_642193"/>
      <w:bookmarkEnd w:id="1306"/>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40"/>
        <w:ind w:left="0" w:right="0" w:hanging="0"/>
        <w:jc w:val="right"/>
        <w:rPr>
          <w:rFonts w:ascii="Times New Roman;Times;serif" w:hAnsi="Times New Roman;Times;serif"/>
          <w:b/>
          <w:sz w:val="20"/>
        </w:rPr>
      </w:pPr>
      <w:bookmarkStart w:id="1307" w:name="tmb-20251231xex4d5.htm"/>
      <w:bookmarkStart w:id="1308" w:name="kstmb20251231xex4d5"/>
      <w:bookmarkEnd w:id="1307"/>
      <w:bookmarkEnd w:id="1308"/>
      <w:r>
        <w:rPr>
          <w:rFonts w:ascii="Times New Roman;Times;serif" w:hAnsi="Times New Roman;Times;serif"/>
          <w:b/>
          <w:sz w:val="20"/>
        </w:rPr>
        <w:t>Exhibit 4.5</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REGISTRANT’S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common stock, par value $0.0001 per share (the “Common Stock”), of Binah Capital Group, Inc. (the “Company”) is registered under Section 12(b) of the Securities Exchange Act of 1934, as amended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descriptions summarize the most important terms of our Common Stock. Because it is only a summary, it does not contain all of the information that may be important to you, and is qualified by reference to the Amended and Restated Certificate of Incorporation, the Amended and Restated Bylaws, the Certificate of Designations and the Registration Rights Agreement, which are exhibits to the Annual Report on Form 10-K (“Annual Report”) of which this exhibit is a part. We urge you to read each of the Amended and Restated Certificate of Incorporation, the Amended and Restated Bylaws, the Certificate of Designations and the Registration Rights Agreement in their entirety for a complete description of the rights and preferences of our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used herein and not defined herein shall have the meaning ascribed to such terms in the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Amended and Restated Certificate of Incorporation authorizes the Company to issue 57,500,000 shares of capital stock, consisting of (i) 2,000,000 shares of Company preferred stock (Series A and B), par value $0.0001 per share and (ii) 55,000,000 shares of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date of the Annual Report, there were 16,716,000 shares of Common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date of the Annual Report, there were 1,626,000 Series A preferred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date of the Annual Report, there were 150,000 Series B preferred stock outstanding.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Classified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board of directors is divided into three classes, Class I, Class II and Class III, with members of each class serving staggered three-year terms. 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the Company’s board of directors may have the effect of delaying or preventing changes in the Company’s control or 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preferences that may be applicable to any then outstanding preferred stock, holders of shares of Common Stock are entitled to receive such dividends, if any, as may be declared from time-to-time by the Company’s board of directors out of legally available funds.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Voting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Except as otherwise required by law, each holder of Common Stock is entitled to one vote for each share on all matters properly submitted to a vote of the Company’s stockholders, including the election of directors. Holders of Common Stock do not have cumulative voting rights in the election of directors. Accordingly, holders of a majority of the voting shares are able to elect all of the directors.</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Liquidation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Rights and preferences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Company preferred stock that the Company may designate in the future.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board of directors has the authority, without further action by the Company’s stockholders, to issue up to 2,000,000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Common Stock. The issuance of Company preferred stock could adversely affect the voting power of holders of the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Certain Anti-Takeover Provisions of Delaware Law, the Amended and Restated Certificate of Incorporation and the Amended and Restated Bylaws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Amended and Restated Certificate of Incorporation, the Company has opted out of Section 203 of the Delaware General Corporation Law (the “DGCL”). However, the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prior to such time, the Company’s board of directors approved either the business combination or the transaction which resulted in the stockholder becoming an interested stockholder;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upon consummation of the transaction that resulted in the stockholder becoming an interested stockholder, the interested stockholder owned at least 85% of the Company’s voting stock outstanding at the time the transaction commenced, excluding certain shares; or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at or subsequent to that time, the business combination is approved by the Company’s board of directors and by the affirmative vote of holders of at least 66 2∕3% of the outstanding voting stock that is not owned by the interested stockholder.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the Company’s voting stock.</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certain circumstances, this provision will make it more difficult for a person who would be an “interested stockholder” to effect various business combinations with a corporation for a three year period. This provision may encourage companies interested in acquiring the Company to negotiate in advance with the Company’s board of directors because the Company’s stockholder approval requirement would be avoided if the Company’s board of approval approves either the business combination or the transaction that results in the stockholder becoming an interested stockholder. These provisions also may have the effect of preventing changes in the Company’s board of directors and may make it more difficult to accomplish transactions, which stockholders may otherwise deem to be in their best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Certificate of Incorporation provides that the Stockholder Parties (as defined therein) and their respective affiliates, any of their respective direct or indirect transferees of at least 15% of outstanding Common Stock and any group as to which such persons are party to, do not constitute “interested stockholders” for purposes of this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the Amended and Restated Certificate of Incorporation does not provide for cumulative voting in the election of directors. The Company’s board of directors is empowered to elect a director to fill a vacancy created by the expansion of the Company’s board of directors or the resignation, death, or removal of a director in certain circumstances.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Authorized Common Stock and Company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Company preferred stock could render more difficult or discourage an attempt to obtain control of us by means of a proxy contest, tender offer, merger or otherwise.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Exclusive Forum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Amended and Restated Certificate of Incorporation provides that, unless the Company consents in writing to the selection of an alternative forum, the Court of Chancery of the State of Delaware (or, if the Court of Chancery does not have jurisdiction, another state court in Delaware or the federal district court of the District of Delaware), will, to the fullest extent permitted by law, be the sole and exclusive forum for:</w:t>
      </w:r>
    </w:p>
    <w:tbl>
      <w:tblPr>
        <w:tblW w:w="5943" w:type="dxa"/>
        <w:jc w:val="left"/>
        <w:tblInd w:w="0" w:type="dxa"/>
        <w:tblLayout w:type="fixed"/>
        <w:tblCellMar>
          <w:top w:w="0" w:type="dxa"/>
          <w:left w:w="0" w:type="dxa"/>
          <w:bottom w:w="0" w:type="dxa"/>
          <w:right w:w="0" w:type="dxa"/>
        </w:tblCellMar>
      </w:tblPr>
      <w:tblGrid>
        <w:gridCol w:w="23"/>
        <w:gridCol w:w="95"/>
        <w:gridCol w:w="58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58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derivative action or proceeding brought on behalf of the Company;</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action asserting a claim of breach of fiduciary duty owed by, or other wrongdoing by, any current or former director, officer, other employee or stockholder of the Company. to the Company or the Company’s stockholders, creditors or other constituents, or a claim of aiding and abetting any such breach of fiduciary duty;</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action or proceeding against the Company or any current or former director, officer or other employee of the Company or any stockholder (a) arising pursuant to any provision of the DGCL, the Amended and Restated Certificate of Incorporation or the Amended and Restated Bylaws (as each may be amended, restated, modified, supplemented or waived from time to time);</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action or proceeding to interpret, apply, enforce or determine the validity of the Amended and Restated Certificate of Incorporation or the Amended and Restated Bylaws (including any right, obligation or remedy thereunder);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action asserting a claim against the Company or any director, officer or other employee of the Company or any stockholder, governed by the internal affairs doctrine; and</w:t>
            </w:r>
          </w:p>
        </w:tc>
      </w:tr>
    </w:tbl>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exclusive forum provision may limit a stockholder’s ability to bring a claim in a judicial forum that it finds favorable for disputes with the Company or any of its directors, officers, or other employees, which may discourage lawsuits with respect to such claims. However,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Notwithstanding the foregoing, this exclusive forum provision will not apply to actions arising under the Securities Act of 1933, as amended (the “Securities Act”), as other provisions in the Certificate of Incorporation designate the federal district courts of the United States as the sole and exclusive forum for the resolution of any complaint asserting a cause of action arising under the Securities Act against any person in connection with any offering of the Company’s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 In such instance, the Company would expect to vigorously assert the validity and enforceability of the exclusive forum provisions of the Amended and Restated Certificate of Incorporation. However, there can be no assurance that the provisions will be enforced by a court in those other jurisdictions. If a court were to find the exclusive forum provision contained in the Amended and Restated Certificate of Incorporation to be inapplicable or unenforceable in an action, the Company may incur additional costs associated with resolving such action in other jurisdictions, which could harm the Company’s business, results of operations and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of Liability and Indemnification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Amended and Restated Certificate of Incorporation and the Amended and Restated Bylaws provide that that the Company’s directors will be indemnified by the Company to the fullest extent authorized by Delaware law, as it now exists or may in the future be amended. In addition, the Amended and Restated Bylaws provide that the Company’s directors will not be personally liable for monetary damages to the Company or the Company’s stockholders for breaches of their fiduciary duty as directors, unless they violated their duty of loyalty to the Company or the Company’s stockholders, acted in bad faith, knowingly or intentionally violated the law, authorized unlawful payments of dividends, unlawful stock purchases or unlawful redemptions, or derived an improper personal benefit from their actions as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Amended and Restated Bylaws also permit the Company to secure insurance on behalf of any officer, director or employee for any liability arising out of his or her actions, regardless of whether Delaware law would permit such indemnification. We have purchased a policy of directors’ and officers’ liability insurance that insures the Company’s officers and directors against the cost of defense, settlement or payment of a judgment in certain circumstances and insures the Company against the Company’s obligations to indemnify the Company’s officers and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provisions may discourage stockholders from bringing a lawsuit against the Company’s directors for breach of their fiduciary duty. These provisions also may have the effect of reducing the likelihood of derivative litigation against officers and directors, even though such an action, if successful, might otherwise benefit the Company and the Company’s stockholders. Furthermore, a stockholder’s investment may be adversely affected to the extent we pay the costs of settlement and damage awards against officers and directors pursuant to these indemnification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the Company’s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Listing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Common Stock is listed on the Nasdaq Stock Market LLC under the symbol “BCG”.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Transfer Agent and Registrar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transfer agent and registrar is Continental Stock Transfer &amp; Trust Company.</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09" w:name="tmb-20251231xex10d122.htm"/>
      <w:bookmarkStart w:id="1310" w:name="kstmb20251231xex10d122"/>
      <w:bookmarkEnd w:id="1309"/>
      <w:bookmarkEnd w:id="1310"/>
      <w:r>
        <w:rPr>
          <w:rFonts w:ascii="Times New Roman;Times;serif" w:hAnsi="Times New Roman;Times;serif"/>
          <w:b/>
          <w:sz w:val="20"/>
        </w:rPr>
        <w:t>Exhibit 10.12.2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SECOND AMENDMENT TO EXECUTIVE EMPLOYMENT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Second Amendment to Executive Employment Agreement (the “</w:t>
      </w:r>
      <w:r>
        <w:rPr>
          <w:rFonts w:ascii="Times New Roman;Times;serif" w:hAnsi="Times New Roman;Times;serif"/>
          <w:b/>
          <w:i/>
          <w:sz w:val="20"/>
        </w:rPr>
        <w:t>Amendment</w:t>
      </w:r>
      <w:r>
        <w:rPr>
          <w:rFonts w:ascii="Times New Roman;Times;serif" w:hAnsi="Times New Roman;Times;serif"/>
          <w:sz w:val="20"/>
        </w:rPr>
        <w:t>”) is made and entered into as of February 25, 2026, by and between Binah Capital Group, Inc., a Delaware corporation (the “</w:t>
      </w:r>
      <w:r>
        <w:rPr>
          <w:rFonts w:ascii="Times New Roman;Times;serif" w:hAnsi="Times New Roman;Times;serif"/>
          <w:b/>
          <w:i/>
          <w:sz w:val="20"/>
        </w:rPr>
        <w:t>Company</w:t>
      </w:r>
      <w:r>
        <w:rPr>
          <w:rFonts w:ascii="Times New Roman;Times;serif" w:hAnsi="Times New Roman;Times;serif"/>
          <w:sz w:val="20"/>
        </w:rPr>
        <w:t>”), and David Shane (“</w:t>
      </w:r>
      <w:r>
        <w:rPr>
          <w:rFonts w:ascii="Times New Roman;Times;serif" w:hAnsi="Times New Roman;Times;serif"/>
          <w:b/>
          <w:i/>
          <w:sz w:val="20"/>
        </w:rPr>
        <w:t>Executive</w:t>
      </w:r>
      <w:r>
        <w:rPr>
          <w:rFonts w:ascii="Times New Roman;Times;serif" w:hAnsi="Times New Roman;Times;serif"/>
          <w:sz w:val="20"/>
        </w:rPr>
        <w:t>”). The Company and Executive are each referred to herein as a “Party” and collectively as the “Parties.”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Parties entered into that certain Executive Employment Agreement dated as of August 14, 2024 (the “Agreement”), pursuant to which Executive serves as Chief Financial Officer of the Company, which was amended on August 7,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Parties desire to amend the Agreement as set forth herein;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NOW, THEREFORE, in consideration of the mutual covenants and agreements contained herein and for other good and valuable consideration, the receipt and sufficiency of which are hereby acknowledged, the Parties agree as follows: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1. Amendments to the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Sections 3 is amended and restated to read as follows:</w:t>
      </w:r>
    </w:p>
    <w:p>
      <w:pPr>
        <w:pStyle w:val="TextBody"/>
        <w:bidi w:val="0"/>
        <w:spacing w:before="0" w:after="240"/>
        <w:ind w:left="0" w:right="0" w:firstLine="720"/>
        <w:jc w:val="left"/>
        <w:rPr/>
      </w:pPr>
      <w:r>
        <w:rPr/>
        <w:t>“</w:t>
      </w:r>
      <w:r>
        <w:rPr>
          <w:rFonts w:ascii="Times New Roman;Times;serif" w:hAnsi="Times New Roman;Times;serif"/>
          <w:sz w:val="20"/>
        </w:rPr>
        <w:t xml:space="preserve">3. </w:t>
      </w:r>
      <w:r>
        <w:rPr>
          <w:rFonts w:ascii="Times New Roman;Times;serif" w:hAnsi="Times New Roman;Times;serif"/>
          <w:sz w:val="20"/>
          <w:u w:val="single"/>
        </w:rPr>
        <w:t>Term</w:t>
      </w:r>
      <w:r>
        <w:rPr>
          <w:rFonts w:ascii="Times New Roman;Times;serif" w:hAnsi="Times New Roman;Times;serif"/>
          <w:sz w:val="20"/>
        </w:rPr>
        <w:t>. Executive’s employment will commence, and this Agreement will be effective as of the Effective Date and will continue for a term of five (5) years thereafter (the “</w:t>
      </w:r>
      <w:r>
        <w:rPr>
          <w:rFonts w:ascii="Times New Roman;Times;serif" w:hAnsi="Times New Roman;Times;serif"/>
          <w:b/>
          <w:i/>
          <w:sz w:val="20"/>
        </w:rPr>
        <w:t>Initial Term</w:t>
      </w:r>
      <w:r>
        <w:rPr>
          <w:rFonts w:ascii="Times New Roman;Times;serif" w:hAnsi="Times New Roman;Times;serif"/>
          <w:sz w:val="20"/>
        </w:rPr>
        <w:t>”), unless extended or earlier terminated as provided in this Agreement. At least sixty (60) days prior to the expiration of the Initial Term or Renewal Term (defined below), the Executive shall notify the Board of whether the Executive would like to renew this agreement (the “</w:t>
      </w:r>
      <w:r>
        <w:rPr>
          <w:rFonts w:ascii="Times New Roman;Times;serif" w:hAnsi="Times New Roman;Times;serif"/>
          <w:b/>
          <w:i/>
          <w:sz w:val="20"/>
        </w:rPr>
        <w:t>Renewal Notice</w:t>
      </w:r>
      <w:r>
        <w:rPr>
          <w:rFonts w:ascii="Times New Roman;Times;serif" w:hAnsi="Times New Roman;Times;serif"/>
          <w:sz w:val="20"/>
        </w:rPr>
        <w:t>”) for a successive one (1) year period following the last day of the Initial Term. The Board will consider whether to offer the Executive an extension under this Agreement (such one-year extension, a “</w:t>
      </w:r>
      <w:r>
        <w:rPr>
          <w:rFonts w:ascii="Times New Roman;Times;serif" w:hAnsi="Times New Roman;Times;serif"/>
          <w:b/>
          <w:i/>
          <w:sz w:val="20"/>
        </w:rPr>
        <w:t>Renewal Term</w:t>
      </w:r>
      <w:r>
        <w:rPr>
          <w:rFonts w:ascii="Times New Roman;Times;serif" w:hAnsi="Times New Roman;Times;serif"/>
          <w:sz w:val="20"/>
        </w:rPr>
        <w:t>”). If the Board decides in its sole and absolute discretion to approve the Renewal Notice, it will notify the Executive accordingly (the “</w:t>
      </w:r>
      <w:r>
        <w:rPr>
          <w:rFonts w:ascii="Times New Roman;Times;serif" w:hAnsi="Times New Roman;Times;serif"/>
          <w:b/>
          <w:i/>
          <w:sz w:val="20"/>
        </w:rPr>
        <w:t>Renewal Approval</w:t>
      </w:r>
      <w:r>
        <w:rPr>
          <w:rFonts w:ascii="Times New Roman;Times;serif" w:hAnsi="Times New Roman;Times;serif"/>
          <w:sz w:val="20"/>
        </w:rPr>
        <w:t>”), not less than thirty (30) days prior to the expiration of the Initial Term or Renewal Term, as applicable. Each subsequent Renewal Term will renew, subject to a timely Renewal Notice and Renewal Approval for each additional Renewal Term, on the last day of each Renewal Term (each Renewal Term together with the Initial Term, the “</w:t>
      </w:r>
      <w:r>
        <w:rPr>
          <w:rFonts w:ascii="Times New Roman;Times;serif" w:hAnsi="Times New Roman;Times;serif"/>
          <w:b/>
          <w:i/>
          <w:sz w:val="20"/>
        </w:rPr>
        <w:t>Term</w:t>
      </w:r>
      <w:r>
        <w:rPr>
          <w:rFonts w:ascii="Times New Roman;Times;serif" w:hAnsi="Times New Roman;Times;serif"/>
          <w:sz w:val="20"/>
        </w:rPr>
        <w:t>”). During any Renewal Term, the terms, conditions and provisions set forth in this Agreement will remain in effect unless modified in accordance with the terms of this Agreement. Notwithstanding the foregoing, Executive’s employment with the Company is at-will and may be terminated at any time, with or without Cause (as defined below) or advance notice, by either Executive or the Company, subject to the provisions regarding termination set forth below in Section 7.”</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2. No Other Changes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Except as expressly amended by this Amendment, all terms, conditions, and provisions of the Agreement shall remain in full force and effect and are hereby ratified and confirmed.</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3. Governing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Amendment shall be governed by and construed in accordance with the laws of the State of Delaware, without regard to its conflict of law principles.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sz w:val="20"/>
        </w:rPr>
        <w:t>4. Counterparts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Amendment may be executed in counterparts, each of which shall be deemed an original, but all of which together shall constitute one and the same instrument. Signatures delivered by electronic means (including PDF or other electronic transmission) shall be deemed effective for all purposes.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WITNESS WHEREOF, the Parties have executed this Amendment as of the date first written above.</w:t>
      </w:r>
    </w:p>
    <w:p>
      <w:pPr>
        <w:pStyle w:val="TextBody"/>
        <w:bidi w:val="0"/>
        <w:spacing w:before="0" w:after="0"/>
        <w:ind w:left="0" w:right="0" w:firstLine="720"/>
        <w:jc w:val="left"/>
        <w:rPr/>
      </w:pPr>
      <w:r>
        <w:rPr/>
        <w:t>​</w:t>
      </w:r>
    </w:p>
    <w:tbl>
      <w:tblPr>
        <w:tblW w:w="3150" w:type="dxa"/>
        <w:jc w:val="center"/>
        <w:tblInd w:w="0" w:type="dxa"/>
        <w:tblLayout w:type="fixed"/>
        <w:tblCellMar>
          <w:top w:w="0" w:type="dxa"/>
          <w:left w:w="0" w:type="dxa"/>
          <w:bottom w:w="0" w:type="dxa"/>
          <w:right w:w="0" w:type="dxa"/>
        </w:tblCellMar>
      </w:tblPr>
      <w:tblGrid>
        <w:gridCol w:w="124"/>
        <w:gridCol w:w="109"/>
        <w:gridCol w:w="591"/>
        <w:gridCol w:w="39"/>
        <w:gridCol w:w="2287"/>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7"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BINAH CAPITAL GROUP, INC.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7"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2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7"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7"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7"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2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7"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11" w:name="tmb-20251231xex19d1.htm"/>
      <w:bookmarkStart w:id="1312" w:name="kstmb20251231xex19d1"/>
      <w:bookmarkEnd w:id="1311"/>
      <w:bookmarkEnd w:id="1312"/>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19.1</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BINAH CAPITAL GROUP, INC.</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INSIDER TRADING POLICY</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by the Board of</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Directors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amended as of September 29, 2025)</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Table of Contents</w:t>
      </w:r>
    </w:p>
    <w:tbl>
      <w:tblPr>
        <w:tblW w:w="10205" w:type="dxa"/>
        <w:jc w:val="center"/>
        <w:tblInd w:w="0" w:type="dxa"/>
        <w:tblLayout w:type="fixed"/>
        <w:tblCellMar>
          <w:top w:w="0" w:type="dxa"/>
          <w:left w:w="0" w:type="dxa"/>
          <w:bottom w:w="0" w:type="dxa"/>
          <w:right w:w="0" w:type="dxa"/>
        </w:tblCellMar>
      </w:tblPr>
      <w:tblGrid>
        <w:gridCol w:w="978"/>
        <w:gridCol w:w="346"/>
        <w:gridCol w:w="7993"/>
        <w:gridCol w:w="346"/>
        <w:gridCol w:w="542"/>
      </w:tblGrid>
      <w:tr>
        <w:trPr/>
        <w:tc>
          <w:tcPr>
            <w:tcW w:w="97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w:t>
            </w:r>
          </w:p>
        </w:tc>
        <w:tc>
          <w:tcPr>
            <w:tcW w:w="346" w:type="dxa"/>
            <w:tcBorders/>
            <w:vAlign w:val="center"/>
          </w:tcPr>
          <w:p>
            <w:pPr>
              <w:pStyle w:val="TableContents"/>
              <w:bidi w:val="0"/>
              <w:spacing w:before="0" w:after="0"/>
              <w:ind w:left="0" w:right="0" w:hanging="0"/>
              <w:jc w:val="left"/>
              <w:rPr/>
            </w:pPr>
            <w:r>
              <w:rPr/>
              <w:t>  ​ ​ ​</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Employees, Officers, Directors and their Family Members and Affiliates Are Subject to this Policy</w:t>
            </w:r>
          </w:p>
        </w:tc>
        <w:tc>
          <w:tcPr>
            <w:tcW w:w="346" w:type="dxa"/>
            <w:tcBorders/>
            <w:vAlign w:val="center"/>
          </w:tcPr>
          <w:p>
            <w:pPr>
              <w:pStyle w:val="TableContents"/>
              <w:bidi w:val="0"/>
              <w:spacing w:before="0" w:after="0"/>
              <w:ind w:left="0" w:right="0" w:hanging="0"/>
              <w:jc w:val="left"/>
              <w:rPr/>
            </w:pPr>
            <w:r>
              <w:rPr/>
              <w:t>  ​ ​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in Binah Securities While in Possession of Material Nonpublic Information is Prohibited</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Window</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in Other Public Companies’ Securities While in Possession of Material Nonpublic Information is Prohibited</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Types of Transactions Are Prohibited</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Sharing Material Nonpublic Information is Prohibited</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Recommendations Regarding Trading in Company Securities are Prohibited</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Only Designated Company Spokespersons Are Authorized to Disclose Material Nonpublic Information</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Employees Must Follow Company Guidelines Pertaining to Electronic Communications</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Transactions in Company Securities</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Officers and Certain Named Employees Are Subject to Additional Restrictions</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Policy Violations Must Be Reported</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Insider Trading Compliance Officers</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Definition of “Material Nonpublic Information”</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Binah May Suspend All Trading Activities by Employees</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16.</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Violations of Insider Trading Laws or This Policy Can Result in Severe Consequences</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Policy Is Subject to Revision</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18.</w:t>
            </w:r>
          </w:p>
        </w:tc>
        <w:tc>
          <w:tcPr>
            <w:tcW w:w="346" w:type="dxa"/>
            <w:tcBorders/>
            <w:vAlign w:val="center"/>
          </w:tcPr>
          <w:p>
            <w:pPr>
              <w:pStyle w:val="TableContents"/>
              <w:bidi w:val="0"/>
              <w:spacing w:before="0" w:after="0"/>
              <w:ind w:left="0" w:right="0" w:hanging="0"/>
              <w:jc w:val="left"/>
              <w:rPr/>
            </w:pPr>
            <w:r>
              <w:rPr/>
              <w:t>​</w:t>
            </w:r>
          </w:p>
        </w:tc>
        <w:tc>
          <w:tcPr>
            <w:tcW w:w="79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Persons Must Acknowledge Their Agreement to Comply with This Policy</w:t>
            </w:r>
          </w:p>
        </w:tc>
        <w:tc>
          <w:tcPr>
            <w:tcW w:w="346"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w:t>
      </w:r>
      <w:r>
        <w:rPr>
          <w:rFonts w:ascii="Times New Roman;Times;serif" w:hAnsi="Times New Roman;Times;serif"/>
          <w:b/>
          <w:sz w:val="20"/>
        </w:rPr>
        <w:t>All Employees, Officers, Directors and their Family Members and Affiliates Are Subject to this Policy</w:t>
      </w:r>
      <w:r>
        <w:rPr>
          <w:rFonts w:ascii="Times New Roman;Times;serif" w:hAnsi="Times New Roman;Times;serif"/>
          <w:sz w:val="20"/>
        </w:rPr>
        <w:t>. This Insider Trading Policy (“</w:t>
      </w:r>
      <w:r>
        <w:rPr>
          <w:rFonts w:ascii="Times New Roman;Times;serif" w:hAnsi="Times New Roman;Times;serif"/>
          <w:b/>
          <w:i/>
          <w:sz w:val="20"/>
        </w:rPr>
        <w:t>Policy</w:t>
      </w:r>
      <w:r>
        <w:rPr>
          <w:rFonts w:ascii="Times New Roman;Times;serif" w:hAnsi="Times New Roman;Times;serif"/>
          <w:sz w:val="20"/>
        </w:rPr>
        <w:t>”) applies to all employees, outside directors, officers, and consultants of Binah Capital Group, Inc., a Delaware corporation (“</w:t>
      </w:r>
      <w:r>
        <w:rPr>
          <w:rFonts w:ascii="Times New Roman;Times;serif" w:hAnsi="Times New Roman;Times;serif"/>
          <w:b/>
          <w:i/>
          <w:sz w:val="20"/>
        </w:rPr>
        <w:t>Binah</w:t>
      </w:r>
      <w:r>
        <w:rPr>
          <w:rFonts w:ascii="Times New Roman;Times;serif" w:hAnsi="Times New Roman;Times;serif"/>
          <w:sz w:val="20"/>
        </w:rPr>
        <w:t>” or the “</w:t>
      </w:r>
      <w:r>
        <w:rPr>
          <w:rFonts w:ascii="Times New Roman;Times;serif" w:hAnsi="Times New Roman;Times;serif"/>
          <w:b/>
          <w:i/>
          <w:sz w:val="20"/>
        </w:rPr>
        <w:t>Company</w:t>
      </w:r>
      <w:r>
        <w:rPr>
          <w:rFonts w:ascii="Times New Roman;Times;serif" w:hAnsi="Times New Roman;Times;serif"/>
          <w:sz w:val="20"/>
        </w:rPr>
        <w:t>”), their family members and entities over which such individuals have or share voting or investment control. This Policy also applies to any other person who receives material nonpublic information from any Binah insider or is otherwise designated by the Compliance Officer. For purposes of this policy, “</w:t>
      </w:r>
      <w:r>
        <w:rPr>
          <w:rFonts w:ascii="Times New Roman;Times;serif" w:hAnsi="Times New Roman;Times;serif"/>
          <w:b/>
          <w:i/>
          <w:sz w:val="20"/>
        </w:rPr>
        <w:t>family members</w:t>
      </w:r>
      <w:r>
        <w:rPr>
          <w:rFonts w:ascii="Times New Roman;Times;serif" w:hAnsi="Times New Roman;Times;serif"/>
          <w:sz w:val="20"/>
        </w:rPr>
        <w:t>” include people who live with you, or are financially dependent on you, and also include those whose transactions in securities are directed by you or are subject to your influence or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Policy continues to apply following termination of employment or other relationship with Binah until after the first trading day that any material non-public information in your possession has become public or is no longer material. Each employee, officer, consultant and director is </w:t>
      </w:r>
      <w:r>
        <w:rPr>
          <w:rFonts w:ascii="Times New Roman;Times;serif" w:hAnsi="Times New Roman;Times;serif"/>
          <w:i/>
          <w:sz w:val="20"/>
        </w:rPr>
        <w:t>personally responsible</w:t>
      </w:r>
      <w:r>
        <w:rPr>
          <w:rFonts w:ascii="Times New Roman;Times;serif" w:hAnsi="Times New Roman;Times;serif"/>
          <w:sz w:val="20"/>
        </w:rPr>
        <w:t xml:space="preserve"> for the actions of their family members and other persons with whom they have a relationship who are subject to this policy, including any pre-clearances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2.</w:t>
      </w:r>
      <w:r>
        <w:rPr>
          <w:rFonts w:ascii="Times New Roman;Times;serif" w:hAnsi="Times New Roman;Times;serif"/>
          <w:b/>
          <w:sz w:val="20"/>
        </w:rPr>
        <w:t>Trading in Binah Securities While in Possession of Material Nonpublic Information is Prohibited</w:t>
      </w:r>
      <w:r>
        <w:rPr>
          <w:rFonts w:ascii="Times New Roman;Times;serif" w:hAnsi="Times New Roman;Times;serif"/>
          <w:sz w:val="20"/>
        </w:rPr>
        <w:t xml:space="preserve">. The purchase or sale of securities by any person who possesses material nonpublic information is a violation of U.S. federal and state securities laws. It is important to avoid the </w:t>
      </w:r>
      <w:r>
        <w:rPr>
          <w:rFonts w:ascii="Times New Roman;Times;serif" w:hAnsi="Times New Roman;Times;serif"/>
          <w:i/>
          <w:sz w:val="20"/>
        </w:rPr>
        <w:t>appearance</w:t>
      </w:r>
      <w:r>
        <w:rPr>
          <w:rFonts w:ascii="Times New Roman;Times;serif" w:hAnsi="Times New Roman;Times;serif"/>
          <w:sz w:val="20"/>
        </w:rPr>
        <w:t>, as well as the fact, of trading based on material nonpublic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person subject to this Policy who is aware of material nonpublic information relating to Binah may, directly or indirectly (through family members, other persons, entities or otherwise) buy, sell or otherwise trade in the securities of Binah, or advise anyone else to do so, other than pursuant to a trading plan that complies with Rule 10b5-1 promulgated by the Securities and Exchange Commission (“</w:t>
      </w:r>
      <w:r>
        <w:rPr>
          <w:rFonts w:ascii="Times New Roman;Times;serif" w:hAnsi="Times New Roman;Times;serif"/>
          <w:b/>
          <w:i/>
          <w:sz w:val="20"/>
        </w:rPr>
        <w:t>SEC</w:t>
      </w:r>
      <w:r>
        <w:rPr>
          <w:rFonts w:ascii="Times New Roman;Times;serif" w:hAnsi="Times New Roman;Times;serif"/>
          <w:sz w:val="20"/>
        </w:rPr>
        <w:t>”) or as specifically exempted in Section 10(B) of this Policy, or otherwise engage in any action to take personal advantage of that information. For purposes of this Policy, the term “</w:t>
      </w:r>
      <w:r>
        <w:rPr>
          <w:rFonts w:ascii="Times New Roman;Times;serif" w:hAnsi="Times New Roman;Times;serif"/>
          <w:b/>
          <w:i/>
          <w:sz w:val="20"/>
        </w:rPr>
        <w:t>trade</w:t>
      </w:r>
      <w:r>
        <w:rPr>
          <w:rFonts w:ascii="Times New Roman;Times;serif" w:hAnsi="Times New Roman;Times;serif"/>
          <w:sz w:val="20"/>
        </w:rPr>
        <w:t>” includes any transaction in Binah securities, including gifts and pledges.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person subject to this Policy may, from time to time, have to forego a proposed transaction even if they planned to make the transaction before learning material nonpublic information and even though they may suffer economic loss or forego anticipated profit by waiting.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3.</w:t>
      </w:r>
      <w:r>
        <w:rPr>
          <w:rFonts w:ascii="Times New Roman;Times;serif" w:hAnsi="Times New Roman;Times;serif"/>
          <w:b/>
          <w:sz w:val="20"/>
        </w:rPr>
        <w:t>Trading Window</w:t>
      </w:r>
      <w:r>
        <w:rPr>
          <w:rFonts w:ascii="Times New Roman;Times;serif" w:hAnsi="Times New Roman;Times;serif"/>
          <w:sz w:val="20"/>
        </w:rPr>
        <w:t>. Directors, officers and employees designated as insiders (Listed on “Exhibit A”) of the Company are only permitted to purchase or sell Binah securities during an open “</w:t>
      </w:r>
      <w:r>
        <w:rPr>
          <w:rFonts w:ascii="Times New Roman;Times;serif" w:hAnsi="Times New Roman;Times;serif"/>
          <w:b/>
          <w:i/>
          <w:sz w:val="20"/>
        </w:rPr>
        <w:t>trading window</w:t>
      </w:r>
      <w:r>
        <w:rPr>
          <w:rFonts w:ascii="Times New Roman;Times;serif" w:hAnsi="Times New Roman;Times;serif"/>
          <w:sz w:val="20"/>
        </w:rPr>
        <w:t>.” The trading window generally opens following the close of trading on the first full trading day following the public issuance of the Company’s earnings release for the most recent fiscal quarter and closes at the close of trading on the last day of the fiscal quarter. The Compliance Officer may advise directors, officers and employees of the Company when the trading window opens and closes; provided that, in any event, directors, officers and employees of the Company are charged with the knowledge of and responsible for their own compliance with this Policy. In addition to when the trading window is scheduled to be closed, the Company may impose a special blackout period at its discretion due to the existence (or potential existence) of material nonpublic information.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during an otherwise open trading window, directors, officers and employees of the Company are prohibited from trading in Binah securities while in possession of material nonpublic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4.</w:t>
      </w:r>
      <w:r>
        <w:rPr>
          <w:rFonts w:ascii="Times New Roman;Times;serif" w:hAnsi="Times New Roman;Times;serif"/>
          <w:b/>
          <w:sz w:val="20"/>
        </w:rPr>
        <w:t>Trading in Other Public Companies</w:t>
      </w:r>
      <w:r>
        <w:rPr>
          <w:rFonts w:ascii="Times New Roman;Times;serif" w:hAnsi="Times New Roman;Times;serif"/>
          <w:sz w:val="20"/>
        </w:rPr>
        <w:t xml:space="preserve">’ </w:t>
      </w:r>
      <w:r>
        <w:rPr>
          <w:rFonts w:ascii="Times New Roman;Times;serif" w:hAnsi="Times New Roman;Times;serif"/>
          <w:b/>
          <w:sz w:val="20"/>
        </w:rPr>
        <w:t>Securities While in Possession of Material Nonpublic Information is Prohibited</w:t>
      </w:r>
      <w:r>
        <w:rPr>
          <w:rFonts w:ascii="Times New Roman;Times;serif" w:hAnsi="Times New Roman;Times;serif"/>
          <w:sz w:val="20"/>
        </w:rPr>
        <w:t>. No person subject to this Policy who possesses material nonpublic information relating to other publicly traded companies, including our vendors, customers and partners, as a result of employment with Binah or the performance of services on our behalf, may, directly or indirectly (through family members, other persons, entities or otherwise) buy or sell securities of such other companies, or advise anyone else to do so, or otherwise engage in any action to take personal advantage of that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5.</w:t>
      </w:r>
      <w:r>
        <w:rPr>
          <w:rFonts w:ascii="Times New Roman;Times;serif" w:hAnsi="Times New Roman;Times;serif"/>
          <w:b/>
          <w:sz w:val="20"/>
        </w:rPr>
        <w:t>Certain Types of Transactions Are Prohibited</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A.Short Sales</w:t>
      </w:r>
      <w:r>
        <w:rPr>
          <w:rFonts w:ascii="Times New Roman;Times;serif" w:hAnsi="Times New Roman;Times;serif"/>
          <w:sz w:val="20"/>
        </w:rPr>
        <w:t>. Short sales of Binah securities are prohibited, as short sales evidence the seller’s expectation that Binah securities will decline in value, signal to the market that the seller has no confidence in the Company or its short-term prospects and may reduce the seller’s incentive to improve Binah performance. In addition, Section 16(c) of the Securities Exchange Act of 1934, as amended (the “</w:t>
      </w:r>
      <w:r>
        <w:rPr>
          <w:rFonts w:ascii="Times New Roman;Times;serif" w:hAnsi="Times New Roman;Times;serif"/>
          <w:b/>
          <w:i/>
          <w:sz w:val="20"/>
        </w:rPr>
        <w:t>Exchange Act</w:t>
      </w:r>
      <w:r>
        <w:rPr>
          <w:rFonts w:ascii="Times New Roman;Times;serif" w:hAnsi="Times New Roman;Times;serif"/>
          <w:sz w:val="20"/>
        </w:rPr>
        <w:t>”), prohibits executive officers and directors from engaging in short sales.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B.Publicly Traded Options</w:t>
      </w:r>
      <w:r>
        <w:rPr>
          <w:rFonts w:ascii="Times New Roman;Times;serif" w:hAnsi="Times New Roman;Times;serif"/>
          <w:sz w:val="20"/>
        </w:rPr>
        <w:t>. Transactions in puts, calls or other derivative securities involving Binah stock are prohibited, as any such transaction is, in effect, a bet on the short-term movement of the Company’s stock, creates the appearance of trading based on inside information and may focus attention on short-term performance at the expense of Binah long-term objectives.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C.Hedging Transactions</w:t>
      </w:r>
      <w:r>
        <w:rPr>
          <w:rFonts w:ascii="Times New Roman;Times;serif" w:hAnsi="Times New Roman;Times;serif"/>
          <w:sz w:val="20"/>
        </w:rPr>
        <w:t>. Hedging or monetization transactions (including but not limited to zero-cost collars, prepaid variable forwards, equity swaps, puts, calls, collars, forwards and other derivative instruments) are prohibited, as such transactions allow you to continue to own Binah securities without the full risks and rewards of ownership and as a result, you may not have the same objectives as other stockholders.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D.Margin Accounts and Pledges</w:t>
      </w:r>
      <w:r>
        <w:rPr>
          <w:rFonts w:ascii="Times New Roman;Times;serif" w:hAnsi="Times New Roman;Times;serif"/>
          <w:sz w:val="20"/>
        </w:rPr>
        <w:t>. Directors, officers and other employees are prohibited from holding Company securities in a margin account or pledging Company securities as collateral for a loan, as such securities may be traded without your consent (for failing to meet a margin call or if you default on the loan) at a time when you possess material nonpublic information or otherwise are not permitted to trade.</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sz w:val="20"/>
        </w:rPr>
        <w:t>E.Short-Term Trading</w:t>
      </w:r>
      <w:r>
        <w:rPr>
          <w:rFonts w:ascii="Times New Roman;Times;serif" w:hAnsi="Times New Roman;Times;serif"/>
          <w:sz w:val="20"/>
        </w:rPr>
        <w:t>. Executive officers and directors who purchase Binah securities in the open market may not sell any Binah securities of the same class during the six months following the purchase (or vice versa), as short-term trading of the Company’s securities may be distracting and may unduly focus the person on short-term stock market performance, instead of Binah long-term business objectives and may result in the disgorgement of any short swing profits.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6.</w:t>
      </w:r>
      <w:r>
        <w:rPr>
          <w:rFonts w:ascii="Times New Roman;Times;serif" w:hAnsi="Times New Roman;Times;serif"/>
          <w:b/>
          <w:sz w:val="20"/>
        </w:rPr>
        <w:t>Sharing Material Nonpublic Information is Prohibited</w:t>
      </w:r>
      <w:r>
        <w:rPr>
          <w:rFonts w:ascii="Times New Roman;Times;serif" w:hAnsi="Times New Roman;Times;serif"/>
          <w:sz w:val="20"/>
        </w:rPr>
        <w:t>. No person subject to this Policy who possesses material nonpublic information relating to Binah or any other publicly traded companies may directly or indirectly (through family members, other persons, entities or otherwise) pass that information on to others outside the Company (except as appropriate in the conduct of Company business, and under suitable non-disclosure obligations by the outsider recipient), including friends, family or other acquaintances (referred to as “</w:t>
      </w:r>
      <w:r>
        <w:rPr>
          <w:rFonts w:ascii="Times New Roman;Times;serif" w:hAnsi="Times New Roman;Times;serif"/>
          <w:b/>
          <w:i/>
          <w:sz w:val="20"/>
        </w:rPr>
        <w:t>tipping</w:t>
      </w:r>
      <w:r>
        <w:rPr>
          <w:rFonts w:ascii="Times New Roman;Times;serif" w:hAnsi="Times New Roman;Times;serif"/>
          <w:sz w:val="20"/>
        </w:rPr>
        <w:t>”) until such information has been disseminated to the public. You must treat material nonpublic information about our business partners with the same care required with respect to such information related directly to Binah.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Tipping includes passing information under circumstances that could suggest that you were trying to help another profit or avoid a loss. Exercise care when speaking with others who do not “</w:t>
      </w:r>
      <w:r>
        <w:rPr>
          <w:rFonts w:ascii="Times New Roman;Times;serif" w:hAnsi="Times New Roman;Times;serif"/>
          <w:b/>
          <w:i/>
          <w:sz w:val="20"/>
        </w:rPr>
        <w:t>need to know</w:t>
      </w:r>
      <w:r>
        <w:rPr>
          <w:rFonts w:ascii="Times New Roman;Times;serif" w:hAnsi="Times New Roman;Times;serif"/>
          <w:sz w:val="20"/>
        </w:rPr>
        <w:t>”, even if they are subject to this Policy, as well as when communicating with family, friends and others not associated with Binah. To avoid the appearance of impropriety, refrain from discussing our business or prospects or making recommendations about buying or selling our securities or the securities of other companies with which we have a relationship. Inquiries about Binah should be directed to our Corporate Communications, Investor Relations, or Legal teams.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7.</w:t>
      </w:r>
      <w:r>
        <w:rPr>
          <w:rFonts w:ascii="Times New Roman;Times;serif" w:hAnsi="Times New Roman;Times;serif"/>
          <w:b/>
          <w:sz w:val="20"/>
        </w:rPr>
        <w:t>Recommendations Regarding Trading in Company Securities are Prohibited</w:t>
      </w:r>
      <w:r>
        <w:rPr>
          <w:rFonts w:ascii="Times New Roman;Times;serif" w:hAnsi="Times New Roman;Times;serif"/>
          <w:sz w:val="20"/>
        </w:rPr>
        <w:t>. No person subject to this Policy may make recommendations or express opinions on trading in Binah securities while in possession of material nonpublic information, except to advise others not to trade in Binah securities if doing so might violate the law or this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8.</w:t>
      </w:r>
      <w:r>
        <w:rPr>
          <w:rFonts w:ascii="Times New Roman;Times;serif" w:hAnsi="Times New Roman;Times;serif"/>
          <w:b/>
          <w:sz w:val="20"/>
        </w:rPr>
        <w:t>Only Designated Company Spokespersons Are Authorized to Disclose Material Nonpublic Information</w:t>
      </w:r>
      <w:r>
        <w:rPr>
          <w:rFonts w:ascii="Times New Roman;Times;serif" w:hAnsi="Times New Roman;Times;serif"/>
          <w:sz w:val="20"/>
        </w:rPr>
        <w:t>. U.S. federal securities laws prohibit the Company from selectively disclosing material nonpublic information. Binah has established procedures for releasing material information in a manner that is designed to achieve broad dissemination of the information immediately upon its release. Employees may not, therefore, disclose material nonpublic information to anyone outside the Company, including family members and friends, other than in accordance with those established procedures. Any inquiries about the Company should be directed to our Corporate Communications and Investor Relations teams. Additionally, the Legal team is responsible for handling legal matters that may involve certain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9.</w:t>
      </w:r>
      <w:r>
        <w:rPr>
          <w:rFonts w:ascii="Times New Roman;Times;serif" w:hAnsi="Times New Roman;Times;serif"/>
          <w:b/>
          <w:sz w:val="20"/>
        </w:rPr>
        <w:t>Employees Must Follow Company Guidelines Pertaining to Electronic Communications</w:t>
      </w:r>
      <w:r>
        <w:rPr>
          <w:rFonts w:ascii="Times New Roman;Times;serif" w:hAnsi="Times New Roman;Times;serif"/>
          <w:sz w:val="20"/>
        </w:rPr>
        <w:t>. Employees must follow the Binah Disclosure and Regulation FD Policy before participating in any Internet electronic communication forums concerning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10.</w:t>
      </w:r>
      <w:r>
        <w:rPr>
          <w:rFonts w:ascii="Times New Roman;Times;serif" w:hAnsi="Times New Roman;Times;serif"/>
          <w:b/>
          <w:sz w:val="20"/>
        </w:rPr>
        <w:t>Other Transactions in Company Securities</w:t>
      </w:r>
      <w:r>
        <w:rPr>
          <w:rFonts w:ascii="Times New Roman;Times;serif" w:hAnsi="Times New Roman;Times;serif"/>
          <w:sz w:val="20"/>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sz w:val="20"/>
        </w:rPr>
        <w:t>A.General Rule</w:t>
      </w:r>
      <w:r>
        <w:rPr>
          <w:rFonts w:ascii="Times New Roman;Times;serif" w:hAnsi="Times New Roman;Times;serif"/>
          <w:sz w:val="20"/>
        </w:rPr>
        <w:t>. This Policy applies to all transactions in Binah securities, including any securities the Company may issue from time to time, such as preferred stock, warrants and convertible debentures, as well as to derivative securities relating to the Company’s stock, whether or not issued by Binah, such as exchange-traded options.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B.Employee Benefit Plans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i/>
          <w:sz w:val="20"/>
        </w:rPr>
        <w:t>Equity Incentive Plans</w:t>
      </w:r>
      <w:r>
        <w:rPr>
          <w:rFonts w:ascii="Times New Roman;Times;serif" w:hAnsi="Times New Roman;Times;serif"/>
          <w:sz w:val="20"/>
        </w:rPr>
        <w:t>. The trading restrictions set forth in this Policy do not apply to the exercise of stock options or other equity awards for cash or to securities acquired or retained by the Company directly (such as to cover tax withholding obligations), but do apply to all sales of securities acquired through the exercise of stock options or other equity awards, including “</w:t>
      </w:r>
      <w:r>
        <w:rPr>
          <w:rFonts w:ascii="Times New Roman;Times;serif" w:hAnsi="Times New Roman;Times;serif"/>
          <w:b/>
          <w:i/>
          <w:sz w:val="20"/>
        </w:rPr>
        <w:t>same-day sale</w:t>
      </w:r>
      <w:r>
        <w:rPr>
          <w:rFonts w:ascii="Times New Roman;Times;serif" w:hAnsi="Times New Roman;Times;serif"/>
          <w:sz w:val="20"/>
        </w:rPr>
        <w:t>” or cashless exercise of Company 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i/>
          <w:sz w:val="20"/>
        </w:rPr>
        <w:t>Employee Stock Purchase Plans</w:t>
      </w:r>
      <w:r>
        <w:rPr>
          <w:rFonts w:ascii="Times New Roman;Times;serif" w:hAnsi="Times New Roman;Times;serif"/>
          <w:sz w:val="20"/>
        </w:rPr>
        <w:t>. The trading restrictions set forth in this Policy do not apply to purchases of Company securities pursuant to the employee’s advance instructions under employee stock purchase plans or employee benefit plans (e.g., a pension or 401(k) plan). However, no alteration to instructions regarding the level of withholding or the purchase of Company securities in such plans is permitted while in the possession of material nonpublic information. Any sale of securities acquired under such plans remains subject to the prohibitions and restrictions of this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11.</w:t>
      </w:r>
      <w:r>
        <w:rPr>
          <w:rFonts w:ascii="Times New Roman;Times;serif" w:hAnsi="Times New Roman;Times;serif"/>
          <w:b/>
          <w:sz w:val="20"/>
        </w:rPr>
        <w:t>Directors, Officers and Certain Named Employees Are Subject to Additional Restrictions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A.Section 16 Insiders</w:t>
      </w:r>
      <w:r>
        <w:rPr>
          <w:rFonts w:ascii="Times New Roman;Times;serif" w:hAnsi="Times New Roman;Times;serif"/>
          <w:sz w:val="20"/>
        </w:rPr>
        <w:t>. The Company’s directors and certain executive officers (“</w:t>
      </w:r>
      <w:r>
        <w:rPr>
          <w:rFonts w:ascii="Times New Roman;Times;serif" w:hAnsi="Times New Roman;Times;serif"/>
          <w:b/>
          <w:i/>
          <w:sz w:val="20"/>
        </w:rPr>
        <w:t>Section 16 Insiders</w:t>
      </w:r>
      <w:r>
        <w:rPr>
          <w:rFonts w:ascii="Times New Roman;Times;serif" w:hAnsi="Times New Roman;Times;serif"/>
          <w:sz w:val="20"/>
        </w:rPr>
        <w:t>”) are subject to the reporting provisions and trading restrictions of Section 16 of the Exchange Act and the underlying rules and regulations promulgated by the SEC.</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B.Insider Employees</w:t>
      </w:r>
      <w:r>
        <w:rPr>
          <w:rFonts w:ascii="Times New Roman;Times;serif" w:hAnsi="Times New Roman;Times;serif"/>
          <w:sz w:val="20"/>
        </w:rPr>
        <w:t xml:space="preserve">. Binah has designated the persons with the roles/titles listed on </w:t>
      </w:r>
      <w:r>
        <w:rPr>
          <w:rFonts w:ascii="Times New Roman;Times;serif" w:hAnsi="Times New Roman;Times;serif"/>
          <w:sz w:val="20"/>
          <w:u w:val="single"/>
        </w:rPr>
        <w:t>Exhibit A</w:t>
      </w:r>
      <w:r>
        <w:rPr>
          <w:rFonts w:ascii="Times New Roman;Times;serif" w:hAnsi="Times New Roman;Times;serif"/>
          <w:sz w:val="20"/>
        </w:rPr>
        <w:t xml:space="preserve"> as employees who have (or are likely to have) frequent access to material nonpublic information concerning the Company (“</w:t>
      </w:r>
      <w:r>
        <w:rPr>
          <w:rFonts w:ascii="Times New Roman;Times;serif" w:hAnsi="Times New Roman;Times;serif"/>
          <w:b/>
          <w:i/>
          <w:sz w:val="20"/>
        </w:rPr>
        <w:t>Insider Employees</w:t>
      </w:r>
      <w:r>
        <w:rPr>
          <w:rFonts w:ascii="Times New Roman;Times;serif" w:hAnsi="Times New Roman;Times;serif"/>
          <w:sz w:val="20"/>
        </w:rPr>
        <w:t xml:space="preserve">”). The Company will amend </w:t>
      </w:r>
      <w:r>
        <w:rPr>
          <w:rFonts w:ascii="Times New Roman;Times;serif" w:hAnsi="Times New Roman;Times;serif"/>
          <w:sz w:val="20"/>
          <w:u w:val="single"/>
        </w:rPr>
        <w:t>Exhibit A</w:t>
      </w:r>
      <w:r>
        <w:rPr>
          <w:rFonts w:ascii="Times New Roman;Times;serif" w:hAnsi="Times New Roman;Times;serif"/>
          <w:sz w:val="20"/>
        </w:rPr>
        <w:t xml:space="preserve"> from time to time as necessary.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C.Additional Restrictions</w:t>
      </w:r>
      <w:r>
        <w:rPr>
          <w:rFonts w:ascii="Times New Roman;Times;serif" w:hAnsi="Times New Roman;Times;serif"/>
          <w:sz w:val="20"/>
        </w:rPr>
        <w:t xml:space="preserve">. Because Section 16 Insiders and Insider Employees regularly possess material nonpublic information about the Company, and in light of the reporting requirements to which Section 16 Insiders are subject under Section 16 of the Exchange Act, Section 16 Insiders and Insider Employees are subject to the additional restrictions set forth in </w:t>
      </w:r>
      <w:r>
        <w:rPr>
          <w:rFonts w:ascii="Times New Roman;Times;serif" w:hAnsi="Times New Roman;Times;serif"/>
          <w:sz w:val="20"/>
          <w:u w:val="single"/>
        </w:rPr>
        <w:t>Appendix I</w:t>
      </w:r>
      <w:r>
        <w:rPr>
          <w:rFonts w:ascii="Times New Roman;Times;serif" w:hAnsi="Times New Roman;Times;serif"/>
          <w:sz w:val="20"/>
        </w:rPr>
        <w:t xml:space="preserve"> hereto. For purposes of this Policy, Section 16 Insiders and Insider Employees are each referred to as “</w:t>
      </w:r>
      <w:r>
        <w:rPr>
          <w:rFonts w:ascii="Times New Roman;Times;serif" w:hAnsi="Times New Roman;Times;serif"/>
          <w:b/>
          <w:i/>
          <w:sz w:val="20"/>
        </w:rPr>
        <w:t>Insiders.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12.</w:t>
      </w:r>
      <w:r>
        <w:rPr>
          <w:rFonts w:ascii="Times New Roman;Times;serif" w:hAnsi="Times New Roman;Times;serif"/>
          <w:b/>
          <w:sz w:val="20"/>
        </w:rPr>
        <w:t>Policy Violations Must Be Reported</w:t>
      </w:r>
      <w:r>
        <w:rPr>
          <w:rFonts w:ascii="Times New Roman;Times;serif" w:hAnsi="Times New Roman;Times;serif"/>
          <w:sz w:val="20"/>
        </w:rPr>
        <w:t>. Any person who violates this Policy, the Company’s Disclosure and Regulation FD Policy or any federal or state laws governing insider trading, or knows of any such violation by any other person, must report the violation immediately to the Compliance Officer (defined herein). Upon learning of any such violation, the Compliance Officer will determine whether the Company should release any material nonpublic information or whether the Company should report the violation to the SEC or other appropriate governmental authority.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13.</w:t>
      </w:r>
      <w:r>
        <w:rPr>
          <w:rFonts w:ascii="Times New Roman;Times;serif" w:hAnsi="Times New Roman;Times;serif"/>
          <w:b/>
          <w:sz w:val="20"/>
        </w:rPr>
        <w:t>Insider Trading Compliance Officers</w:t>
      </w:r>
      <w:r>
        <w:rPr>
          <w:rFonts w:ascii="Times New Roman;Times;serif" w:hAnsi="Times New Roman;Times;serif"/>
          <w:sz w:val="20"/>
        </w:rPr>
        <w:t>. Unless the Board of Directors provides otherwise, the Company’s Chief Financial Officer shall act as the Company’s initial Insider Trading Compliance Officer (“</w:t>
      </w:r>
      <w:r>
        <w:rPr>
          <w:rFonts w:ascii="Times New Roman;Times;serif" w:hAnsi="Times New Roman;Times;serif"/>
          <w:b/>
          <w:i/>
          <w:sz w:val="20"/>
        </w:rPr>
        <w:t>Compliance Officer</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however, that if the Chief Financial Officer is a party to a proposed trade, transaction or inquiry relating to this Policy, the Company’s Chief Executive Officer shall act as the Compliance Officer with respect to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proposed trade, transaction or inquiry. The Compliance Officer may delegate their authority to act as the Compliance Officer as they deem necessary or appropriate in their sole discretion. The duties of the Compliance Officer and his/her delegees may include the following:</w:t>
      </w:r>
    </w:p>
    <w:tbl>
      <w:tblPr>
        <w:tblW w:w="5793" w:type="dxa"/>
        <w:jc w:val="left"/>
        <w:tblInd w:w="0" w:type="dxa"/>
        <w:tblLayout w:type="fixed"/>
        <w:tblCellMar>
          <w:top w:w="0" w:type="dxa"/>
          <w:left w:w="0" w:type="dxa"/>
          <w:bottom w:w="0" w:type="dxa"/>
          <w:right w:w="0" w:type="dxa"/>
        </w:tblCellMar>
      </w:tblPr>
      <w:tblGrid>
        <w:gridCol w:w="23"/>
        <w:gridCol w:w="95"/>
        <w:gridCol w:w="56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6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Administering, monitoring and enforcing compliance with the Policy.</w:t>
            </w:r>
          </w:p>
        </w:tc>
      </w:tr>
    </w:tbl>
    <w:tbl>
      <w:tblPr>
        <w:tblW w:w="5718" w:type="dxa"/>
        <w:jc w:val="left"/>
        <w:tblInd w:w="0" w:type="dxa"/>
        <w:tblLayout w:type="fixed"/>
        <w:tblCellMar>
          <w:top w:w="0" w:type="dxa"/>
          <w:left w:w="0" w:type="dxa"/>
          <w:bottom w:w="0" w:type="dxa"/>
          <w:right w:w="0" w:type="dxa"/>
        </w:tblCellMar>
      </w:tblPr>
      <w:tblGrid>
        <w:gridCol w:w="23"/>
        <w:gridCol w:w="95"/>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6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Responding to all inquiries relating to this policy and its procedures.</w:t>
            </w:r>
          </w:p>
        </w:tc>
      </w:tr>
    </w:tbl>
    <w:tbl>
      <w:tblPr>
        <w:tblW w:w="9948" w:type="dxa"/>
        <w:jc w:val="left"/>
        <w:tblInd w:w="0" w:type="dxa"/>
        <w:tblLayout w:type="fixed"/>
        <w:tblCellMar>
          <w:top w:w="0" w:type="dxa"/>
          <w:left w:w="0" w:type="dxa"/>
          <w:bottom w:w="0" w:type="dxa"/>
          <w:right w:w="0" w:type="dxa"/>
        </w:tblCellMar>
      </w:tblPr>
      <w:tblGrid>
        <w:gridCol w:w="23"/>
        <w:gridCol w:w="95"/>
        <w:gridCol w:w="983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8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Designating and announcing special trading blackout periods during which no Insiders may trade in Company securities.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Providing copies of this Policy and other appropriate materials to all current and new directors, officers and employees, and such other persons as the Compliance Officer determines have access to material nonpublic information concerning the Company.</w:t>
            </w:r>
          </w:p>
        </w:tc>
      </w:tr>
    </w:tbl>
    <w:tbl>
      <w:tblPr>
        <w:tblW w:w="9228" w:type="dxa"/>
        <w:jc w:val="left"/>
        <w:tblInd w:w="0" w:type="dxa"/>
        <w:tblLayout w:type="fixed"/>
        <w:tblCellMar>
          <w:top w:w="0" w:type="dxa"/>
          <w:left w:w="0" w:type="dxa"/>
          <w:bottom w:w="0" w:type="dxa"/>
          <w:right w:w="0" w:type="dxa"/>
        </w:tblCellMar>
      </w:tblPr>
      <w:tblGrid>
        <w:gridCol w:w="23"/>
        <w:gridCol w:w="95"/>
        <w:gridCol w:w="911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1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Administering, monitoring and enforcing compliance with federal and state insider trading laws and regulations.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Assisting in the preparation and filing of all required SEC reports relating to trading in Company securities by Insiders, including without limitation Forms 3, 4, 5 and 144 and Schedules 13D and 13G.</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Maintaining as Company records originals or copies of all documents required by the provisions of this Policy or the procedures set forth herein, and copies of all required SEC reports relating to trading by Insiders, including without limitation Forms 3, 4, 5 and 144 and Schedules 13D and 13G.</w:t>
            </w:r>
          </w:p>
        </w:tc>
      </w:tr>
    </w:tbl>
    <w:tbl>
      <w:tblPr>
        <w:tblW w:w="8673" w:type="dxa"/>
        <w:jc w:val="left"/>
        <w:tblInd w:w="0" w:type="dxa"/>
        <w:tblLayout w:type="fixed"/>
        <w:tblCellMar>
          <w:top w:w="0" w:type="dxa"/>
          <w:left w:w="0" w:type="dxa"/>
          <w:bottom w:w="0" w:type="dxa"/>
          <w:right w:w="0" w:type="dxa"/>
        </w:tblCellMar>
      </w:tblPr>
      <w:tblGrid>
        <w:gridCol w:w="23"/>
        <w:gridCol w:w="95"/>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5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Revising the Policy as necessary to reflect changes in federal or state insider trading laws and regulations.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Maintaining the accuracy of the list of roles/titles as set forth on </w:t>
            </w:r>
            <w:r>
              <w:rPr>
                <w:rFonts w:ascii="Times New Roman;Times;serif" w:hAnsi="Times New Roman;Times;serif"/>
                <w:sz w:val="20"/>
                <w:u w:val="single"/>
              </w:rPr>
              <w:t>Exhibit A</w:t>
            </w:r>
            <w:r>
              <w:rPr>
                <w:rFonts w:ascii="Times New Roman;Times;serif" w:hAnsi="Times New Roman;Times;serif"/>
                <w:sz w:val="20"/>
              </w:rPr>
              <w:t xml:space="preserve"> and updating such list periodically as necessary to reflect additions or deletions.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Compliance Officer may designate one or more individuals who may perform the Compliance Officer’s duties under this policy in the event that a Compliance Officer is unable or unavailable to perform such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14.</w:t>
      </w:r>
      <w:r>
        <w:rPr>
          <w:rFonts w:ascii="Times New Roman;Times;serif" w:hAnsi="Times New Roman;Times;serif"/>
          <w:b/>
          <w:sz w:val="20"/>
        </w:rPr>
        <w:t xml:space="preserve">Definition of </w:t>
      </w:r>
      <w:r>
        <w:rPr>
          <w:rFonts w:ascii="Times New Roman;Times;serif" w:hAnsi="Times New Roman;Times;serif"/>
          <w:sz w:val="20"/>
        </w:rPr>
        <w:t>“</w:t>
      </w:r>
      <w:r>
        <w:rPr>
          <w:rFonts w:ascii="Times New Roman;Times;serif" w:hAnsi="Times New Roman;Times;serif"/>
          <w:b/>
          <w:sz w:val="20"/>
        </w:rPr>
        <w:t>Material Nonpublic Information</w:t>
      </w:r>
      <w:r>
        <w:rPr>
          <w:rFonts w:ascii="Times New Roman;Times;serif" w:hAnsi="Times New Roman;Times;serif"/>
          <w:sz w:val="20"/>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sz w:val="20"/>
        </w:rPr>
        <w:t>A.</w:t>
      </w:r>
      <w:r>
        <w:rPr>
          <w:rFonts w:ascii="Times New Roman;Times;serif" w:hAnsi="Times New Roman;Times;serif"/>
          <w:sz w:val="20"/>
        </w:rPr>
        <w:t>“</w:t>
      </w:r>
      <w:r>
        <w:rPr>
          <w:rFonts w:ascii="Times New Roman;Times;serif" w:hAnsi="Times New Roman;Times;serif"/>
          <w:b/>
          <w:i/>
          <w:sz w:val="20"/>
        </w:rPr>
        <w:t>Material</w:t>
      </w:r>
      <w:r>
        <w:rPr>
          <w:rFonts w:ascii="Times New Roman;Times;serif" w:hAnsi="Times New Roman;Times;serif"/>
          <w:sz w:val="20"/>
        </w:rPr>
        <w:t>”. Information about the Company is “</w:t>
      </w:r>
      <w:r>
        <w:rPr>
          <w:rFonts w:ascii="Times New Roman;Times;serif" w:hAnsi="Times New Roman;Times;serif"/>
          <w:b/>
          <w:i/>
          <w:sz w:val="20"/>
        </w:rPr>
        <w:t>material</w:t>
      </w:r>
      <w:r>
        <w:rPr>
          <w:rFonts w:ascii="Times New Roman;Times;serif" w:hAnsi="Times New Roman;Times;serif"/>
          <w:sz w:val="20"/>
        </w:rPr>
        <w:t>” if it would be expected to affect the investment or voting decisions of a reasonable stockholder or investor, or if the disclosure of the information would be expected to significantly alter the total mix of the information in the marketplace about Binah. In simple terms, material information is any type of information which could reasonably be expected to affect the market price of Binah securities or an investor’s decision to buy or sell Binah securities. Both positive and negative information may be material. While it is not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possible to identify all information that would be deemed material, the following information ordinarily would be considered material:</w:t>
      </w:r>
    </w:p>
    <w:tbl>
      <w:tblPr>
        <w:tblW w:w="7563" w:type="dxa"/>
        <w:jc w:val="left"/>
        <w:tblInd w:w="0" w:type="dxa"/>
        <w:tblLayout w:type="fixed"/>
        <w:tblCellMar>
          <w:top w:w="0" w:type="dxa"/>
          <w:left w:w="0" w:type="dxa"/>
          <w:bottom w:w="0" w:type="dxa"/>
          <w:right w:w="0" w:type="dxa"/>
        </w:tblCellMar>
      </w:tblPr>
      <w:tblGrid>
        <w:gridCol w:w="23"/>
        <w:gridCol w:w="95"/>
        <w:gridCol w:w="74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74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Financial performance, including operating results and changes in performance or liquidity.</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Projections of future earnings or losses, or other earnings guidance, and any changes to previously announced earnings guidance.</w:t>
            </w:r>
          </w:p>
        </w:tc>
      </w:tr>
    </w:tbl>
    <w:tbl>
      <w:tblPr>
        <w:tblW w:w="3498" w:type="dxa"/>
        <w:jc w:val="left"/>
        <w:tblInd w:w="0" w:type="dxa"/>
        <w:tblLayout w:type="fixed"/>
        <w:tblCellMar>
          <w:top w:w="0" w:type="dxa"/>
          <w:left w:w="0" w:type="dxa"/>
          <w:bottom w:w="0" w:type="dxa"/>
          <w:right w:w="0" w:type="dxa"/>
        </w:tblCellMar>
      </w:tblPr>
      <w:tblGrid>
        <w:gridCol w:w="23"/>
        <w:gridCol w:w="95"/>
        <w:gridCol w:w="33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33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Company projections and strategic plans.</w:t>
            </w:r>
          </w:p>
        </w:tc>
      </w:tr>
    </w:tbl>
    <w:tbl>
      <w:tblPr>
        <w:tblW w:w="5643" w:type="dxa"/>
        <w:jc w:val="left"/>
        <w:tblInd w:w="0" w:type="dxa"/>
        <w:tblLayout w:type="fixed"/>
        <w:tblCellMar>
          <w:top w:w="0" w:type="dxa"/>
          <w:left w:w="0" w:type="dxa"/>
          <w:bottom w:w="0" w:type="dxa"/>
          <w:right w:w="0" w:type="dxa"/>
        </w:tblCellMar>
      </w:tblPr>
      <w:tblGrid>
        <w:gridCol w:w="23"/>
        <w:gridCol w:w="95"/>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5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New major contracts, suppliers or finance sources or the loss thereof.</w:t>
            </w:r>
          </w:p>
        </w:tc>
      </w:tr>
    </w:tbl>
    <w:tbl>
      <w:tblPr>
        <w:tblW w:w="4338" w:type="dxa"/>
        <w:jc w:val="left"/>
        <w:tblInd w:w="0" w:type="dxa"/>
        <w:tblLayout w:type="fixed"/>
        <w:tblCellMar>
          <w:top w:w="0" w:type="dxa"/>
          <w:left w:w="0" w:type="dxa"/>
          <w:bottom w:w="0" w:type="dxa"/>
          <w:right w:w="0" w:type="dxa"/>
        </w:tblCellMar>
      </w:tblPr>
      <w:tblGrid>
        <w:gridCol w:w="23"/>
        <w:gridCol w:w="95"/>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42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Development or release of a significant new service.</w:t>
            </w:r>
          </w:p>
        </w:tc>
      </w:tr>
    </w:tbl>
    <w:tbl>
      <w:tblPr>
        <w:tblW w:w="3003" w:type="dxa"/>
        <w:jc w:val="left"/>
        <w:tblInd w:w="0" w:type="dxa"/>
        <w:tblLayout w:type="fixed"/>
        <w:tblCellMar>
          <w:top w:w="0" w:type="dxa"/>
          <w:left w:w="0" w:type="dxa"/>
          <w:bottom w:w="0" w:type="dxa"/>
          <w:right w:w="0" w:type="dxa"/>
        </w:tblCellMar>
      </w:tblPr>
      <w:tblGrid>
        <w:gridCol w:w="23"/>
        <w:gridCol w:w="95"/>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28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pricing or cost changes.</w:t>
            </w:r>
          </w:p>
        </w:tc>
      </w:tr>
    </w:tbl>
    <w:tbl>
      <w:tblPr>
        <w:tblW w:w="8883" w:type="dxa"/>
        <w:jc w:val="left"/>
        <w:tblInd w:w="0" w:type="dxa"/>
        <w:tblLayout w:type="fixed"/>
        <w:tblCellMar>
          <w:top w:w="0" w:type="dxa"/>
          <w:left w:w="0" w:type="dxa"/>
          <w:bottom w:w="0" w:type="dxa"/>
          <w:right w:w="0" w:type="dxa"/>
        </w:tblCellMar>
      </w:tblPr>
      <w:tblGrid>
        <w:gridCol w:w="23"/>
        <w:gridCol w:w="95"/>
        <w:gridCol w:w="876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7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Potential mergers or acquisitions, the sale of Company assets or subsidiaries or major partnering agreements.</w:t>
            </w:r>
          </w:p>
        </w:tc>
      </w:tr>
    </w:tbl>
    <w:tbl>
      <w:tblPr>
        <w:tblW w:w="4758" w:type="dxa"/>
        <w:jc w:val="left"/>
        <w:tblInd w:w="0" w:type="dxa"/>
        <w:tblLayout w:type="fixed"/>
        <w:tblCellMar>
          <w:top w:w="0" w:type="dxa"/>
          <w:left w:w="0" w:type="dxa"/>
          <w:bottom w:w="0" w:type="dxa"/>
          <w:right w:w="0" w:type="dxa"/>
        </w:tblCellMar>
      </w:tblPr>
      <w:tblGrid>
        <w:gridCol w:w="23"/>
        <w:gridCol w:w="95"/>
        <w:gridCol w:w="46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46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senior management or the Board of Directors.</w:t>
            </w:r>
          </w:p>
        </w:tc>
      </w:tr>
    </w:tbl>
    <w:tbl>
      <w:tblPr>
        <w:tblW w:w="8943" w:type="dxa"/>
        <w:jc w:val="left"/>
        <w:tblInd w:w="0" w:type="dxa"/>
        <w:tblLayout w:type="fixed"/>
        <w:tblCellMar>
          <w:top w:w="0" w:type="dxa"/>
          <w:left w:w="0" w:type="dxa"/>
          <w:bottom w:w="0" w:type="dxa"/>
          <w:right w:w="0" w:type="dxa"/>
        </w:tblCellMar>
      </w:tblPr>
      <w:tblGrid>
        <w:gridCol w:w="23"/>
        <w:gridCol w:w="95"/>
        <w:gridCol w:w="88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 splits, public or private securities/debt offerings or changes in Company dividend policies or amounts.</w:t>
            </w:r>
          </w:p>
        </w:tc>
      </w:tr>
    </w:tbl>
    <w:tbl>
      <w:tblPr>
        <w:tblW w:w="6018" w:type="dxa"/>
        <w:jc w:val="left"/>
        <w:tblInd w:w="0" w:type="dxa"/>
        <w:tblLayout w:type="fixed"/>
        <w:tblCellMar>
          <w:top w:w="0" w:type="dxa"/>
          <w:left w:w="0" w:type="dxa"/>
          <w:bottom w:w="0" w:type="dxa"/>
          <w:right w:w="0" w:type="dxa"/>
        </w:tblCellMar>
      </w:tblPr>
      <w:tblGrid>
        <w:gridCol w:w="23"/>
        <w:gridCol w:w="95"/>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9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Actual or threatened major litigation, or the resolution of such litigation.</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B.</w:t>
      </w:r>
      <w:r>
        <w:rPr>
          <w:rFonts w:ascii="Times New Roman;Times;serif" w:hAnsi="Times New Roman;Times;serif"/>
          <w:sz w:val="20"/>
        </w:rPr>
        <w:t>“</w:t>
      </w:r>
      <w:r>
        <w:rPr>
          <w:rFonts w:ascii="Times New Roman;Times;serif" w:hAnsi="Times New Roman;Times;serif"/>
          <w:b/>
          <w:i/>
          <w:sz w:val="20"/>
        </w:rPr>
        <w:t>Nonpublic</w:t>
      </w:r>
      <w:r>
        <w:rPr>
          <w:rFonts w:ascii="Times New Roman;Times;serif" w:hAnsi="Times New Roman;Times;serif"/>
          <w:sz w:val="20"/>
        </w:rPr>
        <w:t>”. Material information is “</w:t>
      </w:r>
      <w:r>
        <w:rPr>
          <w:rFonts w:ascii="Times New Roman;Times;serif" w:hAnsi="Times New Roman;Times;serif"/>
          <w:b/>
          <w:i/>
          <w:sz w:val="20"/>
        </w:rPr>
        <w:t>nonpublic</w:t>
      </w:r>
      <w:r>
        <w:rPr>
          <w:rFonts w:ascii="Times New Roman;Times;serif" w:hAnsi="Times New Roman;Times;serif"/>
          <w:sz w:val="20"/>
        </w:rPr>
        <w:t>” if it has not been widely disseminated to the general public through a report filed with the SEC or through major newswire services, national news services or financial news services. For purposes of this Policy, information will be considered public after the close of trading on the first full trading day following the Company’s widespread public release of the information.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C.Consult Compliance Officer When in Doubt</w:t>
      </w:r>
      <w:r>
        <w:rPr>
          <w:rFonts w:ascii="Times New Roman;Times;serif" w:hAnsi="Times New Roman;Times;serif"/>
          <w:sz w:val="20"/>
        </w:rPr>
        <w:t>. Any employees who are unsure whether the information that they possess is material or nonpublic must consult the Compliance Officer for guidance before trading in any Company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15.</w:t>
      </w:r>
      <w:r>
        <w:rPr>
          <w:rFonts w:ascii="Times New Roman;Times;serif" w:hAnsi="Times New Roman;Times;serif"/>
          <w:b/>
          <w:sz w:val="20"/>
        </w:rPr>
        <w:t>Binah May Suspend All Trading Activities by Employees</w:t>
      </w:r>
      <w:r>
        <w:rPr>
          <w:rFonts w:ascii="Times New Roman;Times;serif" w:hAnsi="Times New Roman;Times;serif"/>
          <w:sz w:val="20"/>
        </w:rPr>
        <w:t>. In order to avoid any questions and to protect both employees and the Company from any potential liability, from time to time Binah may impose a “</w:t>
      </w:r>
      <w:r>
        <w:rPr>
          <w:rFonts w:ascii="Times New Roman;Times;serif" w:hAnsi="Times New Roman;Times;serif"/>
          <w:b/>
          <w:i/>
          <w:sz w:val="20"/>
        </w:rPr>
        <w:t>blackout</w:t>
      </w:r>
      <w:r>
        <w:rPr>
          <w:rFonts w:ascii="Times New Roman;Times;serif" w:hAnsi="Times New Roman;Times;serif"/>
          <w:sz w:val="20"/>
        </w:rPr>
        <w:t>” period during which some or all employees may not buy or sell Binah securities. The Compliance Officer will impose such a blackout period if, in their judgment, there exists (or may exist) nonpublic information that would make trades by Binah employees (or certain employees) inappropriate in light of the risk that such trades could be viewed as violating applicable securities laws. If you are made aware of such a blackout period, do not disclose its existence to anyone.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16.</w:t>
      </w:r>
      <w:r>
        <w:rPr>
          <w:rFonts w:ascii="Times New Roman;Times;serif" w:hAnsi="Times New Roman;Times;serif"/>
          <w:b/>
          <w:sz w:val="20"/>
        </w:rPr>
        <w:t>Violations of Insider Trading Laws or This Policy Can Result in Severe Consequences</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A.Civil and Criminal Penalties</w:t>
      </w:r>
      <w:r>
        <w:rPr>
          <w:rFonts w:ascii="Times New Roman;Times;serif" w:hAnsi="Times New Roman;Times;serif"/>
          <w:sz w:val="20"/>
        </w:rPr>
        <w:t>. The consequences of prohibited insider trading or tipping can be severe. Persons violating insider trading or tipping rules may be required to disgorge profit made or loss avoided, pay civil penalties up to three times the profit made or loss avoided, face private action for damages, as well as be subject to criminal penalties, including up to 20 years in prison and fines of up to $5 million. The Company and/or the supervisors of the person violating the rules may also be required to pay major civil or criminal penalties.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sz w:val="20"/>
        </w:rPr>
        <w:t>B.Company Discipline</w:t>
      </w:r>
      <w:r>
        <w:rPr>
          <w:rFonts w:ascii="Times New Roman;Times;serif" w:hAnsi="Times New Roman;Times;serif"/>
          <w:sz w:val="20"/>
        </w:rPr>
        <w:t>. Violation of this Policy or federal or state insider trading laws by any director, officer or employee may subject the director to removal proceedings and the officer or employee to disciplinary action by the Company, including termination for cause.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17.</w:t>
      </w:r>
      <w:r>
        <w:rPr>
          <w:rFonts w:ascii="Times New Roman;Times;serif" w:hAnsi="Times New Roman;Times;serif"/>
          <w:b/>
          <w:sz w:val="20"/>
        </w:rPr>
        <w:t>This Policy Is Subject to Revision</w:t>
      </w:r>
      <w:r>
        <w:rPr>
          <w:rFonts w:ascii="Times New Roman;Times;serif" w:hAnsi="Times New Roman;Times;serif"/>
          <w:sz w:val="20"/>
        </w:rPr>
        <w:t>. Binah may change the terms of this Policy from time to time to respond to developments in law and practice and will take steps to inform all affected persons of any material changes.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18.</w:t>
      </w:r>
      <w:r>
        <w:rPr>
          <w:rFonts w:ascii="Times New Roman;Times;serif" w:hAnsi="Times New Roman;Times;serif"/>
          <w:b/>
          <w:sz w:val="20"/>
        </w:rPr>
        <w:t>All Persons Must Acknowledge Their Agreement to Comply with This Policy</w:t>
      </w:r>
      <w:r>
        <w:rPr>
          <w:rFonts w:ascii="Times New Roman;Times;serif" w:hAnsi="Times New Roman;Times;serif"/>
          <w:sz w:val="20"/>
        </w:rPr>
        <w:t>. The Policy will be available on the Company’s internal website, delivered to all persons subject to this Policy upon adoption and delivered to all new other persons at the start of their employment or relationship with the Company. Upon first receiving a copy of the Policy or any revised versions, each such person must sign an acknowledgment that they have received a copy and agrees to comply with the Policy’s terms. This acknowledgment and agreement will constitute consent for Binah to impose sanctions for violation of this Policy and to issue any necessary stop-transfer orders to the Company’s transfer agent to enforce compliance with this Policy.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APPENDIX I</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Special Restrictions on Transactions in Company Securities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by Insiders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minimize the risk of apparent or actual violations of the rules governing insider trading, we have adopted these special restrictions relating to transactions in our securities by Insiders. Insiders are responsible for ensuring compliance with this </w:t>
      </w:r>
      <w:r>
        <w:rPr>
          <w:rFonts w:ascii="Times New Roman;Times;serif" w:hAnsi="Times New Roman;Times;serif"/>
          <w:sz w:val="20"/>
          <w:u w:val="single"/>
        </w:rPr>
        <w:t>Appendix I</w:t>
      </w:r>
      <w:r>
        <w:rPr>
          <w:rFonts w:ascii="Times New Roman;Times;serif" w:hAnsi="Times New Roman;Times;serif"/>
          <w:sz w:val="20"/>
        </w:rPr>
        <w:t>, including restrictions on all trading during certain periods, by family members and members of their households and by entities over which they exercise voting or investment control. Insiders should provide each of these persons or entities with a copy of this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1.</w:t>
      </w:r>
      <w:r>
        <w:rPr>
          <w:rFonts w:ascii="Times New Roman;Times;serif" w:hAnsi="Times New Roman;Times;serif"/>
          <w:b/>
          <w:sz w:val="20"/>
        </w:rPr>
        <w:t>Trade Pre-Clearance Required</w:t>
      </w:r>
      <w:r>
        <w:rPr>
          <w:rFonts w:ascii="Times New Roman;Times;serif" w:hAnsi="Times New Roman;Times;serif"/>
          <w:sz w:val="20"/>
        </w:rPr>
        <w:t>. As part of this Policy, all purchases and sales of equity securities of the Company by Insiders, other than transactions that are not subject to the Policy or transactions pursuant to a Rule 10b5-1 trading plan authorized by the Compliance Officer, must be pre-cleared by the Compliance Officer. This requirement is intended to prevent inadvertent Policy violations, avoid trades involving the appearance of improper insider trading, facilitate timely Form 4 reporting by Section 16 Insiders and avoid transactions that are subject to disgorgement under Section 16(b)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Requests for pre-clearance must be submitted via email to the Compliance Officer at least </w:t>
      </w:r>
      <w:r>
        <w:rPr>
          <w:rFonts w:ascii="Times New Roman;Times;serif" w:hAnsi="Times New Roman;Times;serif"/>
          <w:b/>
          <w:sz w:val="20"/>
        </w:rPr>
        <w:t>two</w:t>
      </w:r>
      <w:r>
        <w:rPr>
          <w:rFonts w:ascii="Times New Roman;Times;serif" w:hAnsi="Times New Roman;Times;serif"/>
          <w:sz w:val="20"/>
        </w:rPr>
        <w:t xml:space="preserve"> business days in advance of each proposed transaction. If the Insider does not receive a response from a Compliance Officer within </w:t>
      </w:r>
      <w:r>
        <w:rPr>
          <w:rFonts w:ascii="Times New Roman;Times;serif" w:hAnsi="Times New Roman;Times;serif"/>
          <w:b/>
          <w:sz w:val="20"/>
        </w:rPr>
        <w:t>24</w:t>
      </w:r>
      <w:r>
        <w:rPr>
          <w:rFonts w:ascii="Times New Roman;Times;serif" w:hAnsi="Times New Roman;Times;serif"/>
          <w:sz w:val="20"/>
        </w:rPr>
        <w:t xml:space="preserve"> hours, the Insider must follow up to ensure that the message was received. Each Insider request for pre-clearance should include the nature of the proposed transaction and the expected date of the transaction. In addition, each request by a Section 16 Insider for pre-clearance should also include the following information:</w:t>
      </w:r>
    </w:p>
    <w:tbl>
      <w:tblPr>
        <w:tblW w:w="2358" w:type="dxa"/>
        <w:jc w:val="left"/>
        <w:tblInd w:w="0" w:type="dxa"/>
        <w:tblLayout w:type="fixed"/>
        <w:tblCellMar>
          <w:top w:w="0" w:type="dxa"/>
          <w:left w:w="0" w:type="dxa"/>
          <w:bottom w:w="0" w:type="dxa"/>
          <w:right w:w="0" w:type="dxa"/>
        </w:tblCellMar>
      </w:tblPr>
      <w:tblGrid>
        <w:gridCol w:w="23"/>
        <w:gridCol w:w="95"/>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22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Number of shares involved.</w:t>
            </w:r>
          </w:p>
        </w:tc>
      </w:tr>
    </w:tbl>
    <w:tbl>
      <w:tblPr>
        <w:tblW w:w="7068" w:type="dxa"/>
        <w:jc w:val="left"/>
        <w:tblInd w:w="0" w:type="dxa"/>
        <w:tblLayout w:type="fixed"/>
        <w:tblCellMar>
          <w:top w:w="0" w:type="dxa"/>
          <w:left w:w="0" w:type="dxa"/>
          <w:bottom w:w="0" w:type="dxa"/>
          <w:right w:w="0" w:type="dxa"/>
        </w:tblCellMar>
      </w:tblPr>
      <w:tblGrid>
        <w:gridCol w:w="23"/>
        <w:gridCol w:w="95"/>
        <w:gridCol w:w="695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69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the transaction involves a stock option exercise, the specific option to be exercised.</w:t>
            </w:r>
          </w:p>
        </w:tc>
      </w:tr>
    </w:tbl>
    <w:tbl>
      <w:tblPr>
        <w:tblW w:w="5643" w:type="dxa"/>
        <w:jc w:val="left"/>
        <w:tblInd w:w="0" w:type="dxa"/>
        <w:tblLayout w:type="fixed"/>
        <w:tblCellMar>
          <w:top w:w="0" w:type="dxa"/>
          <w:left w:w="0" w:type="dxa"/>
          <w:bottom w:w="0" w:type="dxa"/>
          <w:right w:w="0" w:type="dxa"/>
        </w:tblCellMar>
      </w:tblPr>
      <w:tblGrid>
        <w:gridCol w:w="23"/>
        <w:gridCol w:w="95"/>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5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Contact information for the broker who will execute the transaction.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Once the proposed transaction is pre-cleared, the Insider may proceed with it on the approved terms, provided that they comply with all other securities law requirements, such as Rule 144 and prohibitions regarding trading on the basis of inside information, and with any special trading blackout imposed by the Company prior to the completion of the trade.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2.</w:t>
      </w:r>
      <w:r>
        <w:rPr>
          <w:rFonts w:ascii="Times New Roman;Times;serif" w:hAnsi="Times New Roman;Times;serif"/>
          <w:b/>
          <w:sz w:val="20"/>
        </w:rPr>
        <w:t>Pre-Clearance of Rule 10b5-1 Plans Required</w:t>
      </w:r>
      <w:r>
        <w:rPr>
          <w:rFonts w:ascii="Times New Roman;Times;serif" w:hAnsi="Times New Roman;Times;serif"/>
          <w:sz w:val="20"/>
        </w:rPr>
        <w:t xml:space="preserve">. Pre-clearance is required for the establishment of a Rule 10b5-1 trading plan at least </w:t>
      </w:r>
      <w:r>
        <w:rPr>
          <w:rFonts w:ascii="Times New Roman;Times;serif" w:hAnsi="Times New Roman;Times;serif"/>
          <w:b/>
          <w:sz w:val="20"/>
        </w:rPr>
        <w:t>five</w:t>
      </w:r>
      <w:r>
        <w:rPr>
          <w:rFonts w:ascii="Times New Roman;Times;serif" w:hAnsi="Times New Roman;Times;serif"/>
          <w:sz w:val="20"/>
        </w:rPr>
        <w:t xml:space="preserve"> full trading days prior to entry into or modification of the plan. However, pre-clearance will not be required for individual transactions effected pursuant to a pre-cleared Rule 10b5-1 trading plan. All Section 16 Insiders must immediately report the results of transactions effected under a trading plan to the Compliance Officer since they will be reportable on Form 4 within two business days following the execution of the trade, subject to an extension of not more than two additional business days where the Section 16 Insider is not immediately aware of the execution of the trade. Notwithstanding the foregoing, any transactions by the Compliance Officer, or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delegee of the Compliance Officer under this Policy, shall be subject to pre-clearance by the Chief Financial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3.</w:t>
      </w:r>
      <w:r>
        <w:rPr>
          <w:rFonts w:ascii="Times New Roman;Times;serif" w:hAnsi="Times New Roman;Times;serif"/>
          <w:b/>
          <w:sz w:val="20"/>
        </w:rPr>
        <w:t>Hardship Exemptions</w:t>
      </w:r>
      <w:r>
        <w:rPr>
          <w:rFonts w:ascii="Times New Roman;Times;serif" w:hAnsi="Times New Roman;Times;serif"/>
          <w:sz w:val="20"/>
        </w:rPr>
        <w:t>. The Compliance Officer may, on a case by case basis, authorize a transaction in Binah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Insider requesting the hardship exemption must also certify to the Compliance Officer within two business days prior to the date of the proposed trade that they are not in possession of material nonpublic information concerning Binah. The existence of the foregoing procedure does not in any way obligate the Compliance Officer to approve any hardship exemption requested by an Insider.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4.</w:t>
      </w:r>
      <w:r>
        <w:rPr>
          <w:rFonts w:ascii="Times New Roman;Times;serif" w:hAnsi="Times New Roman;Times;serif"/>
          <w:b/>
          <w:sz w:val="20"/>
        </w:rPr>
        <w:t>Brokers</w:t>
      </w:r>
      <w:r>
        <w:rPr>
          <w:rFonts w:ascii="Times New Roman;Times;serif" w:hAnsi="Times New Roman;Times;serif"/>
          <w:sz w:val="20"/>
        </w:rPr>
        <w:t>. All Insiders must ensure that their broker does not execute any transaction for the Insider (other than under a previously authorized Rule 10b5-1 trading plan) until the broker has verified with the Compliance Officer that the transaction has been pre-cleared.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5.</w:t>
      </w:r>
      <w:r>
        <w:rPr>
          <w:rFonts w:ascii="Times New Roman;Times;serif" w:hAnsi="Times New Roman;Times;serif"/>
          <w:b/>
          <w:sz w:val="20"/>
        </w:rPr>
        <w:t>Reporting of Transactions Required</w:t>
      </w:r>
      <w:r>
        <w:rPr>
          <w:rFonts w:ascii="Times New Roman;Times;serif" w:hAnsi="Times New Roman;Times;serif"/>
          <w:sz w:val="20"/>
        </w:rPr>
        <w:t xml:space="preserve">. To facilitate timely reporting under Section 16 of the Exchange Act, Section 16 Insiders are required to </w:t>
      </w:r>
      <w:r>
        <w:rPr>
          <w:rFonts w:ascii="Times New Roman;Times;serif" w:hAnsi="Times New Roman;Times;serif"/>
          <w:b/>
          <w:i/>
          <w:sz w:val="20"/>
        </w:rPr>
        <w:t>on the same day as the trade date</w:t>
      </w:r>
      <w:r>
        <w:rPr>
          <w:rFonts w:ascii="Times New Roman;Times;serif" w:hAnsi="Times New Roman;Times;serif"/>
          <w:sz w:val="20"/>
        </w:rPr>
        <w:t>, or, with respect to transactions effected pursuant to a Rule 10b5-1 plan, on the day the Insider is advised of the terms of the transaction, (a) report the details of each transaction to the Compliance Officer and (b) arrange with persons whose trades must be reported by the Insider under Section 16 (such as immediate family members living in the Insider’s household) to immediately report directly to the Company and to the Insider the following transaction details:</w:t>
      </w:r>
    </w:p>
    <w:tbl>
      <w:tblPr>
        <w:tblW w:w="2493" w:type="dxa"/>
        <w:jc w:val="left"/>
        <w:tblInd w:w="0" w:type="dxa"/>
        <w:tblLayout w:type="fixed"/>
        <w:tblCellMar>
          <w:top w:w="0" w:type="dxa"/>
          <w:left w:w="0" w:type="dxa"/>
          <w:bottom w:w="0" w:type="dxa"/>
          <w:right w:w="0" w:type="dxa"/>
        </w:tblCellMar>
      </w:tblPr>
      <w:tblGrid>
        <w:gridCol w:w="23"/>
        <w:gridCol w:w="95"/>
        <w:gridCol w:w="23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23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Transaction date (trade date).</w:t>
            </w:r>
          </w:p>
        </w:tc>
      </w:tr>
    </w:tbl>
    <w:tbl>
      <w:tblPr>
        <w:tblW w:w="2358" w:type="dxa"/>
        <w:jc w:val="left"/>
        <w:tblInd w:w="0" w:type="dxa"/>
        <w:tblLayout w:type="fixed"/>
        <w:tblCellMar>
          <w:top w:w="0" w:type="dxa"/>
          <w:left w:w="0" w:type="dxa"/>
          <w:bottom w:w="0" w:type="dxa"/>
          <w:right w:w="0" w:type="dxa"/>
        </w:tblCellMar>
      </w:tblPr>
      <w:tblGrid>
        <w:gridCol w:w="23"/>
        <w:gridCol w:w="95"/>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22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Number of shares involved.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Price per share at which the transaction was executed (before addition or deduction of brokerage commission and other transaction fees).</w:t>
            </w:r>
          </w:p>
        </w:tc>
      </w:tr>
    </w:tbl>
    <w:tbl>
      <w:tblPr>
        <w:tblW w:w="4713" w:type="dxa"/>
        <w:jc w:val="left"/>
        <w:tblInd w:w="0" w:type="dxa"/>
        <w:tblLayout w:type="fixed"/>
        <w:tblCellMar>
          <w:top w:w="0" w:type="dxa"/>
          <w:left w:w="0" w:type="dxa"/>
          <w:bottom w:w="0" w:type="dxa"/>
          <w:right w:w="0" w:type="dxa"/>
        </w:tblCellMar>
      </w:tblPr>
      <w:tblGrid>
        <w:gridCol w:w="23"/>
        <w:gridCol w:w="95"/>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45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stock option exercises, the specific option exercised.</w:t>
            </w:r>
          </w:p>
        </w:tc>
      </w:tr>
    </w:tbl>
    <w:tbl>
      <w:tblPr>
        <w:tblW w:w="5388" w:type="dxa"/>
        <w:jc w:val="left"/>
        <w:tblInd w:w="0" w:type="dxa"/>
        <w:tblLayout w:type="fixed"/>
        <w:tblCellMar>
          <w:top w:w="0" w:type="dxa"/>
          <w:left w:w="0" w:type="dxa"/>
          <w:bottom w:w="0" w:type="dxa"/>
          <w:right w:w="0" w:type="dxa"/>
        </w:tblCellMar>
      </w:tblPr>
      <w:tblGrid>
        <w:gridCol w:w="23"/>
        <w:gridCol w:w="95"/>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2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Contact information for the broker who executed the transaction.</w:t>
            </w:r>
          </w:p>
        </w:tc>
      </w:tr>
    </w:tbl>
    <w:tbl>
      <w:tblPr>
        <w:tblW w:w="7788" w:type="dxa"/>
        <w:jc w:val="left"/>
        <w:tblInd w:w="0" w:type="dxa"/>
        <w:tblLayout w:type="fixed"/>
        <w:tblCellMar>
          <w:top w:w="0" w:type="dxa"/>
          <w:left w:w="0" w:type="dxa"/>
          <w:bottom w:w="0" w:type="dxa"/>
          <w:right w:w="0" w:type="dxa"/>
        </w:tblCellMar>
      </w:tblPr>
      <w:tblGrid>
        <w:gridCol w:w="23"/>
        <w:gridCol w:w="95"/>
        <w:gridCol w:w="767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76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Specific representation that the Insider is not in possession of material non-public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transaction details must be reported to the Compliance Officer, with copies to Binah personnel who will assist the Section 16 Insider in preparing their Form 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6.</w:t>
      </w:r>
      <w:r>
        <w:rPr>
          <w:rFonts w:ascii="Times New Roman;Times;serif" w:hAnsi="Times New Roman;Times;serif"/>
          <w:b/>
          <w:sz w:val="20"/>
        </w:rPr>
        <w:t>Oversight by the Nominating and Corporate Governance Committee</w:t>
      </w:r>
      <w:r>
        <w:rPr>
          <w:rFonts w:ascii="Times New Roman;Times;serif" w:hAnsi="Times New Roman;Times;serif"/>
          <w:sz w:val="20"/>
        </w:rPr>
        <w:t>. The Nominating and Corporate Governance Committee (the “</w:t>
      </w:r>
      <w:r>
        <w:rPr>
          <w:rFonts w:ascii="Times New Roman;Times;serif" w:hAnsi="Times New Roman;Times;serif"/>
          <w:b/>
          <w:i/>
          <w:sz w:val="20"/>
        </w:rPr>
        <w:t>Committee</w:t>
      </w:r>
      <w:r>
        <w:rPr>
          <w:rFonts w:ascii="Times New Roman;Times;serif" w:hAnsi="Times New Roman;Times;serif"/>
          <w:sz w:val="20"/>
        </w:rPr>
        <w:t>”) of the Board of Directors will be responsible for monitoring and recommending any modification to this Policy, if necessary or advisable, to the Board of Directors. The Committee will also review, at least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annually, those individuals who are deemed to be executive officers for purposes of Section 16 and will recommend any changes regarding such status to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7.</w:t>
      </w:r>
      <w:r>
        <w:rPr>
          <w:rFonts w:ascii="Times New Roman;Times;serif" w:hAnsi="Times New Roman;Times;serif"/>
          <w:b/>
          <w:sz w:val="20"/>
        </w:rPr>
        <w:t>Named Employees Considered Insiders</w:t>
      </w:r>
      <w:r>
        <w:rPr>
          <w:rFonts w:ascii="Times New Roman;Times;serif" w:hAnsi="Times New Roman;Times;serif"/>
          <w:sz w:val="20"/>
        </w:rPr>
        <w:t>. The Committee will review, at least annually, those individuals deemed to be “</w:t>
      </w:r>
      <w:r>
        <w:rPr>
          <w:rFonts w:ascii="Times New Roman;Times;serif" w:hAnsi="Times New Roman;Times;serif"/>
          <w:b/>
          <w:i/>
          <w:sz w:val="20"/>
        </w:rPr>
        <w:t>Insiders</w:t>
      </w:r>
      <w:r>
        <w:rPr>
          <w:rFonts w:ascii="Times New Roman;Times;serif" w:hAnsi="Times New Roman;Times;serif"/>
          <w:sz w:val="20"/>
        </w:rPr>
        <w:t xml:space="preserve">” for purposes of this </w:t>
      </w:r>
      <w:r>
        <w:rPr>
          <w:rFonts w:ascii="Times New Roman;Times;serif" w:hAnsi="Times New Roman;Times;serif"/>
          <w:sz w:val="20"/>
          <w:u w:val="single"/>
        </w:rPr>
        <w:t>Appendix I</w:t>
      </w:r>
      <w:r>
        <w:rPr>
          <w:rFonts w:ascii="Times New Roman;Times;serif" w:hAnsi="Times New Roman;Times;serif"/>
          <w:sz w:val="20"/>
        </w:rPr>
        <w:t xml:space="preserve">. Insiders shall include persons subject to Section 16 and such other persons as the Committee deems to be Insiders. Generally, Insiders shall be any person who by function of their employment is </w:t>
      </w:r>
      <w:r>
        <w:rPr>
          <w:rFonts w:ascii="Times New Roman;Times;serif" w:hAnsi="Times New Roman;Times;serif"/>
          <w:i/>
          <w:sz w:val="20"/>
        </w:rPr>
        <w:t>consistently</w:t>
      </w:r>
      <w:r>
        <w:rPr>
          <w:rFonts w:ascii="Times New Roman;Times;serif" w:hAnsi="Times New Roman;Times;serif"/>
          <w:sz w:val="20"/>
        </w:rPr>
        <w:t xml:space="preserve"> in possession of material nonpublic information </w:t>
      </w:r>
      <w:r>
        <w:rPr>
          <w:rFonts w:ascii="Times New Roman;Times;serif" w:hAnsi="Times New Roman;Times;serif"/>
          <w:i/>
          <w:sz w:val="20"/>
        </w:rPr>
        <w:t>or</w:t>
      </w:r>
      <w:r>
        <w:rPr>
          <w:rFonts w:ascii="Times New Roman;Times;serif" w:hAnsi="Times New Roman;Times;serif"/>
          <w:sz w:val="20"/>
        </w:rPr>
        <w:t xml:space="preserve"> performs an operational role, such as head of a division or business unit, that is material to the Company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Section 8.</w:t>
      </w:r>
      <w:r>
        <w:rPr>
          <w:rFonts w:ascii="Times New Roman;Times;serif" w:hAnsi="Times New Roman;Times;serif"/>
          <w:b/>
          <w:sz w:val="20"/>
        </w:rPr>
        <w:t>Special Guidelines for 10b5-1 Trading Plans</w:t>
      </w:r>
      <w:r>
        <w:rPr>
          <w:rFonts w:ascii="Times New Roman;Times;serif" w:hAnsi="Times New Roman;Times;serif"/>
          <w:sz w:val="20"/>
        </w:rPr>
        <w:t>. Notwithstanding the foregoing, an Insider will not be deemed to have violated this Policy for transactions that meet all of the enumerated criteria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transaction must be made pursuant to a documented plan (the “</w:t>
      </w:r>
      <w:r>
        <w:rPr>
          <w:rFonts w:ascii="Times New Roman;Times;serif" w:hAnsi="Times New Roman;Times;serif"/>
          <w:b/>
          <w:i/>
          <w:sz w:val="20"/>
        </w:rPr>
        <w:t>Plan</w:t>
      </w:r>
      <w:r>
        <w:rPr>
          <w:rFonts w:ascii="Times New Roman;Times;serif" w:hAnsi="Times New Roman;Times;serif"/>
          <w:sz w:val="20"/>
        </w:rPr>
        <w:t>”) entered into in good faith that complies with all provisions of Rule 10b5-1(c) (the “</w:t>
      </w:r>
      <w:r>
        <w:rPr>
          <w:rFonts w:ascii="Times New Roman;Times;serif" w:hAnsi="Times New Roman;Times;serif"/>
          <w:b/>
          <w:i/>
          <w:sz w:val="20"/>
        </w:rPr>
        <w:t>Rule</w:t>
      </w:r>
      <w:r>
        <w:rPr>
          <w:rFonts w:ascii="Times New Roman;Times;serif" w:hAnsi="Times New Roman;Times;serif"/>
          <w:sz w:val="20"/>
        </w:rPr>
        <w:t>”), including, without limitation: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1.Each Plan must:</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a.specify the amount of securities to be purchased or sold and the price at which and the date on which the securities are to be purchased or sold, or</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b.include a written formula or algorithm, or computer program, for determining the amount of securities to be purchased or sold and the price at which and the date on which the securities were to be purchased or sold.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2.In any case, such Plan must (by its terms or by the manner in which it is implemented) prohibit the Insider and any other person who possesses material nonpublic information from exercising any subsequent influence over how, when, or whether to effect purchases or sales.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Plan must be authorized prior to the effective time of any transactions under such Plan by the Company’s Compliance Officer. The Company reserves the right to withhold authorization of any Plan that the Compliance Officer determines, in their sole discretion,</w:t>
      </w:r>
    </w:p>
    <w:tbl>
      <w:tblPr>
        <w:tblW w:w="2823" w:type="dxa"/>
        <w:jc w:val="left"/>
        <w:tblInd w:w="0" w:type="dxa"/>
        <w:tblLayout w:type="fixed"/>
        <w:tblCellMar>
          <w:top w:w="0" w:type="dxa"/>
          <w:left w:w="0" w:type="dxa"/>
          <w:bottom w:w="0" w:type="dxa"/>
          <w:right w:w="0" w:type="dxa"/>
        </w:tblCellMar>
      </w:tblPr>
      <w:tblGrid>
        <w:gridCol w:w="23"/>
        <w:gridCol w:w="170"/>
        <w:gridCol w:w="2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26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fails to comply with the Rule, or</w:t>
            </w:r>
          </w:p>
        </w:tc>
      </w:tr>
    </w:tbl>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2.exposes the Company or the Insider to liability under any other applicable state or federal rule, regulation or law,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3.creates any appearance of impropriety, or</w:t>
      </w:r>
    </w:p>
    <w:p>
      <w:pPr>
        <w:pStyle w:val="TextBody"/>
        <w:bidi w:val="0"/>
        <w:spacing w:before="0" w:after="0"/>
        <w:ind w:left="1440" w:right="0" w:firstLine="720"/>
        <w:jc w:val="both"/>
        <w:rPr>
          <w:rFonts w:ascii="Times New Roman;Times;serif" w:hAnsi="Times New Roman;Times;serif"/>
          <w:sz w:val="20"/>
        </w:rPr>
      </w:pPr>
      <w:r>
        <w:rPr>
          <w:rFonts w:ascii="Times New Roman;Times;serif" w:hAnsi="Times New Roman;Times;serif"/>
          <w:sz w:val="20"/>
        </w:rPr>
        <w:t>4.fails to meet the guidelines established by the Company (including that the first transaction under the Plan should occur no sooner than thirty (30) days after the date of establishment of the Plan),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5.otherwise fails to satisfy review by the Compliance Officer for any reason, in the sole discretion of the Compliance Officer.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modifications to the Plan or deviations from the Plan (other than termination thereof) without prior authorization of the Compliance Officer is a violation of this Policy. Any such modifications or deviations are subject to the authorization of a Compliance Officer in accordance with Section B above.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Each Plan must be established at a time when the trading window is open, or when the Board, the Committee, or the Compliance Officer has otherwise provided notice to Insiders of an open period for the adoption of Plans, and the person is not in possession of material nonpublic information.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Each Plan should provide (or the Insider must otherwise arrange for) appropriate mechanisms to ensure that the Insider complies with all rules and regulations, including Rule 144, Rule 701 and Section 16(b), applicable to securities transactions under the Plan by the Insider.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Each Plan must provide for the suspension of all transactions under such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None of the Company, the Compliance Officer, nor any of the Company’s officers, employees or other representatives shall be deemed, solely by their authorization of an Insider’s Plan, to have represented that any Plan complies with the Rule or to have assumed any liability or responsibility to the Insider or any other party if such Plan fails to comply with the Rule.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INSIDER EMPLOYEES</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 *]</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13" w:name="tmb-20251231xex31d1.htm"/>
      <w:bookmarkStart w:id="1314" w:name="kstmb20251231xex31d1"/>
      <w:bookmarkEnd w:id="1313"/>
      <w:bookmarkEnd w:id="1314"/>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UNDER THE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Craig Gould, certify that:</w:t>
      </w:r>
    </w:p>
    <w:p>
      <w:pPr>
        <w:pStyle w:val="TextBody"/>
        <w:bidi w:val="0"/>
        <w:spacing w:before="0" w:after="0"/>
        <w:ind w:left="0" w:right="0" w:hanging="0"/>
        <w:jc w:val="left"/>
        <w:rPr/>
      </w:pPr>
      <w:r>
        <w:rPr/>
        <w:t>​</w:t>
      </w:r>
    </w:p>
    <w:tbl>
      <w:tblPr>
        <w:tblW w:w="6648" w:type="dxa"/>
        <w:jc w:val="left"/>
        <w:tblInd w:w="0" w:type="dxa"/>
        <w:tblLayout w:type="fixed"/>
        <w:tblCellMar>
          <w:top w:w="0" w:type="dxa"/>
          <w:left w:w="0" w:type="dxa"/>
          <w:bottom w:w="0" w:type="dxa"/>
          <w:right w:w="0" w:type="dxa"/>
        </w:tblCellMar>
      </w:tblPr>
      <w:tblGrid>
        <w:gridCol w:w="23"/>
        <w:gridCol w:w="170"/>
        <w:gridCol w:w="6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4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Binah Capital Group,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31, 2026</w:t>
      </w:r>
    </w:p>
    <w:p>
      <w:pPr>
        <w:pStyle w:val="TextBody"/>
        <w:bidi w:val="0"/>
        <w:spacing w:before="0" w:after="0"/>
        <w:ind w:left="0" w:right="0" w:hanging="0"/>
        <w:jc w:val="left"/>
        <w:rPr/>
      </w:pPr>
      <w:r>
        <w:rPr/>
        <w:t>​</w:t>
      </w:r>
    </w:p>
    <w:tbl>
      <w:tblPr>
        <w:tblW w:w="3231" w:type="dxa"/>
        <w:jc w:val="left"/>
        <w:tblInd w:w="0" w:type="dxa"/>
        <w:tblLayout w:type="fixed"/>
        <w:tblCellMar>
          <w:top w:w="0" w:type="dxa"/>
          <w:left w:w="0" w:type="dxa"/>
          <w:bottom w:w="0" w:type="dxa"/>
          <w:right w:w="0" w:type="dxa"/>
        </w:tblCellMar>
      </w:tblPr>
      <w:tblGrid>
        <w:gridCol w:w="124"/>
        <w:gridCol w:w="631"/>
        <w:gridCol w:w="2476"/>
      </w:tblGrid>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BINAH CAPITAL GROUP, INC.</w:t>
            </w:r>
          </w:p>
        </w:tc>
      </w:tr>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15" w:name="tmb-20251231xex31d2.htm"/>
      <w:bookmarkStart w:id="1316" w:name="kstmb20251231xex31d2"/>
      <w:bookmarkEnd w:id="1315"/>
      <w:bookmarkEnd w:id="1316"/>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UNDER THE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David Shane, certify that:</w:t>
      </w:r>
    </w:p>
    <w:p>
      <w:pPr>
        <w:pStyle w:val="TextBody"/>
        <w:bidi w:val="0"/>
        <w:spacing w:before="0" w:after="0"/>
        <w:ind w:left="0" w:right="0" w:hanging="0"/>
        <w:jc w:val="left"/>
        <w:rPr/>
      </w:pPr>
      <w:r>
        <w:rPr/>
        <w:t>​</w:t>
      </w:r>
    </w:p>
    <w:tbl>
      <w:tblPr>
        <w:tblW w:w="6648" w:type="dxa"/>
        <w:jc w:val="left"/>
        <w:tblInd w:w="0" w:type="dxa"/>
        <w:tblLayout w:type="fixed"/>
        <w:tblCellMar>
          <w:top w:w="0" w:type="dxa"/>
          <w:left w:w="0" w:type="dxa"/>
          <w:bottom w:w="0" w:type="dxa"/>
          <w:right w:w="0" w:type="dxa"/>
        </w:tblCellMar>
      </w:tblPr>
      <w:tblGrid>
        <w:gridCol w:w="23"/>
        <w:gridCol w:w="170"/>
        <w:gridCol w:w="6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4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Binah Capital Group,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31, 2026</w:t>
      </w:r>
    </w:p>
    <w:p>
      <w:pPr>
        <w:pStyle w:val="TextBody"/>
        <w:bidi w:val="0"/>
        <w:spacing w:before="0" w:after="0"/>
        <w:ind w:left="0" w:right="0" w:hanging="0"/>
        <w:jc w:val="left"/>
        <w:rPr/>
      </w:pPr>
      <w:r>
        <w:rPr/>
        <w:t>​</w:t>
      </w:r>
    </w:p>
    <w:tbl>
      <w:tblPr>
        <w:tblW w:w="4669" w:type="dxa"/>
        <w:jc w:val="left"/>
        <w:tblInd w:w="0" w:type="dxa"/>
        <w:tblLayout w:type="fixed"/>
        <w:tblCellMar>
          <w:top w:w="0" w:type="dxa"/>
          <w:left w:w="0" w:type="dxa"/>
          <w:bottom w:w="0" w:type="dxa"/>
          <w:right w:w="0" w:type="dxa"/>
        </w:tblCellMar>
      </w:tblPr>
      <w:tblGrid>
        <w:gridCol w:w="124"/>
        <w:gridCol w:w="1085"/>
        <w:gridCol w:w="3460"/>
      </w:tblGrid>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BINAH CAPITAL GROUP, INC.</w:t>
            </w:r>
          </w:p>
        </w:tc>
      </w:tr>
      <w:tr>
        <w:trPr/>
        <w:tc>
          <w:tcPr>
            <w:tcW w:w="124"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left"/>
              <w:rPr/>
            </w:pPr>
            <w:r>
              <w:rPr/>
              <w:t>​</w:t>
            </w:r>
          </w:p>
        </w:tc>
        <w:tc>
          <w:tcPr>
            <w:tcW w:w="346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124"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124"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5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Principal Accounting Officer)</w:t>
            </w:r>
          </w:p>
        </w:tc>
      </w:tr>
      <w:tr>
        <w:trPr/>
        <w:tc>
          <w:tcPr>
            <w:tcW w:w="124"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left"/>
              <w:rPr/>
            </w:pPr>
            <w:r>
              <w:rPr/>
              <w:t>​</w:t>
            </w:r>
          </w:p>
        </w:tc>
        <w:tc>
          <w:tcPr>
            <w:tcW w:w="346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Times New Roman;Times;serif" w:hAnsi="Times New Roman;Times;serif"/>
          <w:b/>
          <w:sz w:val="20"/>
        </w:rPr>
      </w:pPr>
      <w:bookmarkStart w:id="1317" w:name="tmb-20251231xex32d1.htm"/>
      <w:bookmarkStart w:id="1318" w:name="kstmb20251231xex32d1"/>
      <w:bookmarkEnd w:id="1317"/>
      <w:bookmarkEnd w:id="1318"/>
      <w:r>
        <w:rPr>
          <w:rFonts w:ascii="Times New Roman;Times;serif" w:hAnsi="Times New Roman;Times;serif"/>
          <w:b/>
          <w:sz w:val="20"/>
        </w:rPr>
        <w:t>Exhibit 32.1</w:t>
      </w:r>
      <w:r>
        <w:br w:type="page"/>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Binah Capital Group, Inc. (the “Company”) on Form 10-K for the fiscal year ended December 31, 2025, as filed with the Securities and Exchange Commission (the “Report”), I, Craig Gould, Chief Executive Officer of the Company, certify, pursuant to 18 U.S.C. §1350, as added by §906 of the Sarbanes-Oxley Act of 2002,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3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 my knowledge, the information contained in the Report fairly presents, in all material respects, the financial condition and results of operations of the Company as of and for the period covered by the Report.</w:t>
            </w:r>
          </w:p>
        </w:tc>
      </w:tr>
    </w:tbl>
    <w:p>
      <w:pPr>
        <w:pStyle w:val="TextBody"/>
        <w:pBdr/>
        <w:bidi w:val="0"/>
        <w:spacing w:before="0" w:after="0"/>
        <w:ind w:left="360" w:right="0" w:hanging="360"/>
        <w:jc w:val="left"/>
        <w:rPr/>
      </w:pPr>
      <w:r>
        <w:rPr/>
        <w:t>​</w:t>
      </w:r>
    </w:p>
    <w:tbl>
      <w:tblPr>
        <w:tblW w:w="4998" w:type="dxa"/>
        <w:jc w:val="left"/>
        <w:tblInd w:w="0" w:type="dxa"/>
        <w:tblLayout w:type="fixed"/>
        <w:tblCellMar>
          <w:top w:w="0" w:type="dxa"/>
          <w:left w:w="0" w:type="dxa"/>
          <w:bottom w:w="0" w:type="dxa"/>
          <w:right w:w="0" w:type="dxa"/>
        </w:tblCellMar>
      </w:tblPr>
      <w:tblGrid>
        <w:gridCol w:w="1891"/>
        <w:gridCol w:w="631"/>
        <w:gridCol w:w="2476"/>
      </w:tblGrid>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31, 2026</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center"/>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BINAH CAPITAL GROUP, INC.</w:t>
            </w:r>
          </w:p>
        </w:tc>
      </w:tr>
      <w:tr>
        <w:trPr/>
        <w:tc>
          <w:tcPr>
            <w:tcW w:w="189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center"/>
              <w:rPr/>
            </w:pPr>
            <w:r>
              <w:rPr/>
              <w:t>​</w:t>
            </w:r>
          </w:p>
        </w:tc>
      </w:tr>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Gould</w:t>
            </w:r>
          </w:p>
        </w:tc>
      </w:tr>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Gould</w:t>
            </w:r>
          </w:p>
        </w:tc>
      </w:tr>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19" w:name="tmb-20251231xex32d2.htm"/>
      <w:bookmarkStart w:id="1320" w:name="kstmb20251231xex32d2"/>
      <w:bookmarkEnd w:id="1319"/>
      <w:bookmarkEnd w:id="1320"/>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Binah Capital Group, Inc. (the “Company”) on Form 10-K for the fiscal year ended December 31, 2025, as filed with the Securities and Exchange Commission (the “Report”), I, David Shane, Chief Financial Officer of the Company, certify, pursuant to 18 U.S.C. §1350, as added by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3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 my knowledge, the information contained in the Report fairly presents, in all material respects, the financial condition and results of operations of the Company as of and for the period covered by the Report.</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31, 2026</w:t>
      </w:r>
    </w:p>
    <w:p>
      <w:pPr>
        <w:pStyle w:val="TextBody"/>
        <w:bidi w:val="0"/>
        <w:spacing w:before="0" w:after="0"/>
        <w:ind w:left="0" w:right="0" w:hanging="0"/>
        <w:jc w:val="left"/>
        <w:rPr/>
      </w:pPr>
      <w:r>
        <w:rPr/>
        <w:t>​</w:t>
      </w:r>
    </w:p>
    <w:tbl>
      <w:tblPr>
        <w:tblW w:w="3034" w:type="dxa"/>
        <w:jc w:val="left"/>
        <w:tblInd w:w="0" w:type="dxa"/>
        <w:tblLayout w:type="fixed"/>
        <w:tblCellMar>
          <w:top w:w="0" w:type="dxa"/>
          <w:left w:w="0" w:type="dxa"/>
          <w:bottom w:w="0" w:type="dxa"/>
          <w:right w:w="0" w:type="dxa"/>
        </w:tblCellMar>
      </w:tblPr>
      <w:tblGrid>
        <w:gridCol w:w="124"/>
        <w:gridCol w:w="695"/>
        <w:gridCol w:w="2215"/>
      </w:tblGrid>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BINAH CAPITAL GROUP, INC.</w:t>
            </w:r>
          </w:p>
        </w:tc>
      </w:tr>
      <w:tr>
        <w:trPr/>
        <w:tc>
          <w:tcPr>
            <w:tcW w:w="124"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left"/>
              <w:rPr/>
            </w:pPr>
            <w:r>
              <w:rPr/>
              <w:t>​</w:t>
            </w:r>
          </w:p>
        </w:tc>
        <w:tc>
          <w:tcPr>
            <w:tcW w:w="221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Shane</w:t>
            </w:r>
          </w:p>
        </w:tc>
      </w:tr>
      <w:tr>
        <w:trPr/>
        <w:tc>
          <w:tcPr>
            <w:tcW w:w="124"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21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Shane</w:t>
            </w:r>
          </w:p>
        </w:tc>
      </w:tr>
      <w:tr>
        <w:trPr/>
        <w:tc>
          <w:tcPr>
            <w:tcW w:w="124"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w:t>
            </w:r>
          </w:p>
        </w:tc>
      </w:tr>
      <w:tr>
        <w:trPr/>
        <w:tc>
          <w:tcPr>
            <w:tcW w:w="124" w:type="dxa"/>
            <w:tcBorders/>
            <w:vAlign w:val="center"/>
          </w:tcPr>
          <w:p>
            <w:pPr>
              <w:pStyle w:val="TableContents"/>
              <w:bidi w:val="0"/>
              <w:spacing w:before="0" w:after="0"/>
              <w:ind w:left="0" w:right="0" w:hanging="0"/>
              <w:jc w:val="left"/>
              <w:rPr/>
            </w:pPr>
            <w:r>
              <w:rPr/>
              <w:t>​</w:t>
            </w:r>
          </w:p>
        </w:tc>
        <w:tc>
          <w:tcPr>
            <w:tcW w:w="29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Garamond">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3984/000110465924037410/tm249347d1_ex3-1.htm" TargetMode="External"/><Relationship Id="rId3" Type="http://schemas.openxmlformats.org/officeDocument/2006/relationships/hyperlink" Target="https://www.sec.gov/Archives/edgar/data/1953984/000110465924037410/tm249347d1_ex3-2.htm" TargetMode="External"/><Relationship Id="rId4" Type="http://schemas.openxmlformats.org/officeDocument/2006/relationships/hyperlink" Target="https://www.sec.gov/Archives/edgar/data/1953984/000110465924037410/tm249347d1_ex4-5.htm" TargetMode="External"/><Relationship Id="rId5" Type="http://schemas.openxmlformats.org/officeDocument/2006/relationships/hyperlink" Target="https://www.sec.gov/Archives/edgar/data/1953984/000110465924131438/tm2431922d1_ex4-1.htm" TargetMode="External"/><Relationship Id="rId6" Type="http://schemas.openxmlformats.org/officeDocument/2006/relationships/hyperlink" Target="https://www.sec.gov/Archives/edgar/data/1953984/000141057824001986/tmb-20240930xex4d1.htm" TargetMode="External"/><Relationship Id="rId7" Type="http://schemas.openxmlformats.org/officeDocument/2006/relationships/hyperlink" Target="https://www.sec.gov/Archives/edgar/data/1953984/000110465926021627/tm267592d1_ex4-1.htm" TargetMode="External"/><Relationship Id="rId8" Type="http://schemas.openxmlformats.org/officeDocument/2006/relationships/hyperlink" Target="https://www.sec.gov/Archives/edgar/data/1953984/000110465924003754/tm2232968d17_ex4-5.htm" TargetMode="External"/><Relationship Id="rId9" Type="http://schemas.openxmlformats.org/officeDocument/2006/relationships/hyperlink" Target="https://www.sec.gov/Archives/edgar/data/1953984/000110465924003754/tm2232968d17_ex4-6.htm" TargetMode="External"/><Relationship Id="rId10" Type="http://schemas.openxmlformats.org/officeDocument/2006/relationships/hyperlink" Target="https://www.sec.gov/Archives/edgar/data/1823086/000110465920129411/tm2037026d1_ex4-1.htm" TargetMode="External"/><Relationship Id="rId11" Type="http://schemas.openxmlformats.org/officeDocument/2006/relationships/hyperlink" Target="https://www.sec.gov/Archives/edgar/data/1953984/000110465924037410/tm249347d1_ex4-4.htm" TargetMode="External"/><Relationship Id="rId12" Type="http://schemas.openxmlformats.org/officeDocument/2006/relationships/hyperlink" Target="https://www.sec.gov/Archives/edgar/data/1953984/000110465924037410/tm249347d1_ex10-1.htm" TargetMode="External"/><Relationship Id="rId13" Type="http://schemas.openxmlformats.org/officeDocument/2006/relationships/hyperlink" Target="https://www.sec.gov/Archives/edgar/data/1953984/000141057824001986/tmb-20240930xex10d1.htm" TargetMode="External"/><Relationship Id="rId14" Type="http://schemas.openxmlformats.org/officeDocument/2006/relationships/hyperlink" Target="https://www.sec.gov/Archives/edgar/data/1953984/000110465924037410/tm249347d1_ex10-2.htm" TargetMode="External"/><Relationship Id="rId15" Type="http://schemas.openxmlformats.org/officeDocument/2006/relationships/hyperlink" Target="https://www.sec.gov/Archives/edgar/data/1953984/000110465924037410/tm249347d1_ex10-12.htm" TargetMode="External"/><Relationship Id="rId16" Type="http://schemas.openxmlformats.org/officeDocument/2006/relationships/hyperlink" Target="https://www.sec.gov/Archives/edgar/data/1953984/000110465924131438/tm2431922d1_ex10-1.htm" TargetMode="External"/><Relationship Id="rId17" Type="http://schemas.openxmlformats.org/officeDocument/2006/relationships/hyperlink" Target="https://www.sec.gov/Archives/edgar/data/1953984/000110465925036042/tm2511811d1_ex99-1.htm" TargetMode="External"/><Relationship Id="rId18" Type="http://schemas.openxmlformats.org/officeDocument/2006/relationships/hyperlink" Target="https://www.sec.gov/Archives/edgar/data/1953984/000141057825001758/tmb-20250630xex10d1.htm" TargetMode="External"/><Relationship Id="rId19" Type="http://schemas.openxmlformats.org/officeDocument/2006/relationships/hyperlink" Target="https://www.sec.gov/Archives/edgar/data/1953984/000141057825001758/tmb-20250630xex10d1.htm" TargetMode="External"/><Relationship Id="rId20" Type="http://schemas.openxmlformats.org/officeDocument/2006/relationships/hyperlink" Target="https://www.sec.gov/Archives/edgar/data/1953984/000141057825001758/tmb-20250630xex10d2.htm" TargetMode="External"/><Relationship Id="rId21" Type="http://schemas.openxmlformats.org/officeDocument/2006/relationships/hyperlink" Target="https://www.sec.gov/Archives/edgar/data/1953984/000141057825001758/tmb-20250630xex10d3.htm" TargetMode="External"/><Relationship Id="rId22" Type="http://schemas.openxmlformats.org/officeDocument/2006/relationships/hyperlink" Target="https://www.sec.gov/Archives/edgar/data/1953984/000141057825001758/tmb-20250630xex10d4.htm" TargetMode="External"/><Relationship Id="rId23" Type="http://schemas.openxmlformats.org/officeDocument/2006/relationships/hyperlink" Target="https://www.sec.gov/Archives/edgar/data/1953984/000141057824001477/tmb-20240630xex10d1.htm" TargetMode="External"/><Relationship Id="rId24" Type="http://schemas.openxmlformats.org/officeDocument/2006/relationships/hyperlink" Target="https://www.sec.gov/Archives/edgar/data/1953984/000141057825001758/tmb-20250630xex10d5.htm" TargetMode="External"/><Relationship Id="rId25" Type="http://schemas.openxmlformats.org/officeDocument/2006/relationships/hyperlink" Target="https://www.sec.gov/Archives/edgar/data/1953984/000141057824001477/tmb-20240630xex10d1.htm" TargetMode="External"/><Relationship Id="rId26" Type="http://schemas.openxmlformats.org/officeDocument/2006/relationships/hyperlink" Target="https://www.sec.gov/Archives/edgar/data/1953984/000141057825001758/tmb-20250630xex10d6.htm" TargetMode="External"/><Relationship Id="rId27" Type="http://schemas.openxmlformats.org/officeDocument/2006/relationships/hyperlink" Target="https://www.sec.gov/Archives/edgar/data/1953984/000141057825000604/tmb-20241231xex97d1.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51378</Words>
  <Characters>285433</Characters>
  <CharactersWithSpaces>338059</CharactersWithSpaces>
  <Paragraphs>6784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