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60630x10q.htm"/>
        <w:bookmarkStart w:id="1" w:name="kstmb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center"/>
        <w:rPr/>
      </w:pPr>
      <w:bookmarkStart w:id="2" w:name="_38f2faee_daa3_42ca_a427_a743e923c486"/>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aM9T2kSrwE6CLjKmlNuRjg_1_1"/>
      <w:bookmarkStart w:id="4" w:name="_37d7c375_71a9_4d98_8205_b1b6d7dcd807"/>
      <w:bookmarkStart w:id="5" w:name="Tc_aM9T2kSrwE6CLjKmlNuRjg_1_1"/>
      <w:bookmarkStart w:id="6" w:name="_37d7c375_71a9_4d98_8205_b1b6d7dcd807"/>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 w:name="Tc_PjWB1JhueEWJgTNX_gewuw_1_1"/>
      <w:bookmarkStart w:id="8" w:name="_d82f753c_c644_41af_8561_62cc26c2c5e9"/>
      <w:bookmarkStart w:id="9" w:name="Tc_PjWB1JhueEWJgTNX_gewuw_1_1"/>
      <w:bookmarkStart w:id="10" w:name="_d82f753c_c644_41af_8561_62cc26c2c5e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pBdr/>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No. 001-40742</w:t>
      </w:r>
    </w:p>
    <w:p>
      <w:pPr>
        <w:pStyle w:val="TextBody"/>
        <w:bidi w:val="0"/>
        <w:spacing w:before="0" w:after="0"/>
        <w:ind w:left="0" w:right="0" w:hanging="0"/>
        <w:jc w:val="center"/>
        <w:rPr>
          <w:rFonts w:ascii="Times New Roman;Times;serif" w:hAnsi="Times New Roman;Times;serif"/>
          <w:b/>
          <w:sz w:val="42"/>
        </w:rPr>
      </w:pPr>
      <w:r>
        <w:rPr>
          <w:rFonts w:ascii="Times New Roman;Times;serif" w:hAnsi="Times New Roman;Times;serif"/>
          <w:b/>
          <w:sz w:val="42"/>
        </w:rPr>
        <w:t>Binah Capital Group,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 w:name="Tc_U8LKlIy5yUuWDXZePtIULg_1_1"/>
      <w:bookmarkStart w:id="12" w:name="Tc_mQHZD-PysUOBoNxCInd2Ow_1_0"/>
      <w:bookmarkStart w:id="13" w:name="_1fb294a6_5439_44c6_92e8_54ac99a1d86a"/>
      <w:bookmarkStart w:id="14" w:name="Tc_U8LKlIy5yUuWDXZePtIULg_1_1"/>
      <w:bookmarkStart w:id="15" w:name="Tc_mQHZD-PysUOBoNxCInd2Ow_1_0"/>
      <w:bookmarkStart w:id="16" w:name="_1fb294a6_5439_44c6_92e8_54ac99a1d86a"/>
      <w:bookmarkEnd w:id="14"/>
      <w:bookmarkEnd w:id="15"/>
      <w:bookmarkEnd w:id="16"/>
    </w:p>
    <w:tbl>
      <w:tblPr>
        <w:tblW w:w="3857" w:type="dxa"/>
        <w:jc w:val="left"/>
        <w:tblInd w:w="0" w:type="dxa"/>
        <w:tblLayout w:type="fixed"/>
        <w:tblCellMar>
          <w:top w:w="0" w:type="dxa"/>
          <w:left w:w="0" w:type="dxa"/>
          <w:bottom w:w="0" w:type="dxa"/>
          <w:right w:w="0" w:type="dxa"/>
        </w:tblCellMar>
      </w:tblPr>
      <w:tblGrid>
        <w:gridCol w:w="2371"/>
        <w:gridCol w:w="1486"/>
      </w:tblGrid>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88-3276689</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b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 State Street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Albany, NY</w:t>
      </w:r>
      <w:r>
        <w:rPr>
          <w:rFonts w:ascii="Times New Roman;Times;serif" w:hAnsi="Times New Roman;Times;serif"/>
          <w:sz w:val="20"/>
        </w:rPr>
        <w:t xml:space="preserve"> </w:t>
      </w:r>
      <w:r>
        <w:rPr>
          <w:rFonts w:ascii="Times New Roman;Times;serif" w:hAnsi="Times New Roman;Times;serif"/>
          <w:b/>
          <w:sz w:val="16"/>
        </w:rPr>
        <w:t>12207</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 including zip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(212) 404-7002</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oC39zUC6ZUO6-tdX3-fpqg_2_4"/>
      <w:bookmarkStart w:id="18" w:name="Tc_Ob8U7afRHk6tqrla34lWWA_1_4"/>
      <w:bookmarkStart w:id="19" w:name="Tc_tFk3M7HohUqacJtiOqZ8YQ_0_4"/>
      <w:bookmarkStart w:id="20" w:name="Tc_O6LfZmdOMUKK2jQje2igXQ_0_2"/>
      <w:bookmarkStart w:id="21" w:name="Tc_QUGIPmG6wk6EeO0jNpWP_Q_0_0"/>
      <w:bookmarkStart w:id="22" w:name="_0fcd024a_787c_43e9_9404_714233ec72a2"/>
      <w:bookmarkStart w:id="23" w:name="Tc_oC39zUC6ZUO6-tdX3-fpqg_2_4"/>
      <w:bookmarkStart w:id="24" w:name="Tc_Ob8U7afRHk6tqrla34lWWA_1_4"/>
      <w:bookmarkStart w:id="25" w:name="Tc_tFk3M7HohUqacJtiOqZ8YQ_0_4"/>
      <w:bookmarkStart w:id="26" w:name="Tc_O6LfZmdOMUKK2jQje2igXQ_0_2"/>
      <w:bookmarkStart w:id="27" w:name="Tc_QUGIPmG6wk6EeO0jNpWP_Q_0_0"/>
      <w:bookmarkStart w:id="28" w:name="_0fcd024a_787c_43e9_9404_714233ec72a2"/>
      <w:bookmarkEnd w:id="23"/>
      <w:bookmarkEnd w:id="24"/>
      <w:bookmarkEnd w:id="25"/>
      <w:bookmarkEnd w:id="26"/>
      <w:bookmarkEnd w:id="27"/>
      <w:bookmarkEnd w:id="28"/>
    </w:p>
    <w:tbl>
      <w:tblPr>
        <w:tblW w:w="10205" w:type="dxa"/>
        <w:jc w:val="left"/>
        <w:tblInd w:w="0" w:type="dxa"/>
        <w:tblLayout w:type="fixed"/>
        <w:tblCellMar>
          <w:top w:w="0" w:type="dxa"/>
          <w:left w:w="0" w:type="dxa"/>
          <w:bottom w:w="28" w:type="dxa"/>
          <w:right w:w="0" w:type="dxa"/>
        </w:tblCellMar>
      </w:tblPr>
      <w:tblGrid>
        <w:gridCol w:w="6480"/>
        <w:gridCol w:w="346"/>
        <w:gridCol w:w="822"/>
        <w:gridCol w:w="346"/>
        <w:gridCol w:w="2211"/>
      </w:tblGrid>
      <w:tr>
        <w:trPr/>
        <w:tc>
          <w:tcPr>
            <w:tcW w:w="64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82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Trading</w:t>
            </w:r>
            <w:r>
              <w:rPr>
                <w:rFonts w:ascii="Times New Roman;Times;serif" w:hAnsi="Times New Roman;Times;serif"/>
                <w:sz w:val="16"/>
              </w:rPr>
              <w:br/>
            </w:r>
            <w:r>
              <w:rPr>
                <w:rFonts w:ascii="Times New Roman;Times;serif" w:hAnsi="Times New Roman;Times;serif"/>
                <w:b/>
                <w:sz w:val="16"/>
              </w:rPr>
              <w:t>Symbol(s)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221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t xml:space="preserve"> </w:t>
              <w:br/>
            </w:r>
            <w:r>
              <w:rPr>
                <w:rFonts w:ascii="Times New Roman;Times;serif" w:hAnsi="Times New Roman;Times;serif"/>
                <w:b/>
                <w:sz w:val="16"/>
              </w:rPr>
              <w:t>on which registered</w:t>
            </w:r>
          </w:p>
        </w:tc>
      </w:tr>
      <w:tr>
        <w:trPr/>
        <w:tc>
          <w:tcPr>
            <w:tcW w:w="6480"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Common Stock, par value $0.0001</w:t>
            </w:r>
            <w:r>
              <w:rPr>
                <w:rFonts w:ascii="Times New Roman;Times;serif" w:hAnsi="Times New Roman;Times;serif"/>
                <w:sz w:val="20"/>
              </w:rPr>
              <w:t xml:space="preserve"> </w:t>
            </w:r>
            <w:r>
              <w:rPr>
                <w:rFonts w:ascii="Times New Roman;Times;serif" w:hAnsi="Times New Roman;Times;serif"/>
                <w:b/>
                <w:sz w:val="16"/>
              </w:rPr>
              <w:t>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22"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BCG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11"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c>
      </w:tr>
      <w:tr>
        <w:trPr/>
        <w:tc>
          <w:tcPr>
            <w:tcW w:w="64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Warrants, each exercisable for one</w:t>
            </w:r>
            <w:r>
              <w:rPr>
                <w:rFonts w:ascii="Times New Roman;Times;serif" w:hAnsi="Times New Roman;Times;serif"/>
                <w:sz w:val="20"/>
              </w:rPr>
              <w:t xml:space="preserve"> </w:t>
            </w:r>
            <w:r>
              <w:rPr>
                <w:rFonts w:ascii="Times New Roman;Times;serif" w:hAnsi="Times New Roman;Times;serif"/>
                <w:b/>
                <w:sz w:val="16"/>
              </w:rPr>
              <w:t>share of Common Stock at an</w:t>
            </w:r>
            <w:r>
              <w:rPr>
                <w:rFonts w:ascii="Times New Roman;Times;serif" w:hAnsi="Times New Roman;Times;serif"/>
                <w:sz w:val="20"/>
              </w:rPr>
              <w:t xml:space="preserve"> </w:t>
            </w:r>
            <w:r>
              <w:rPr>
                <w:rFonts w:ascii="Times New Roman;Times;serif" w:hAnsi="Times New Roman;Times;serif"/>
                <w:b/>
                <w:sz w:val="16"/>
              </w:rPr>
              <w:t>exercise price of $11.50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BCGWW</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2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9" w:name="Tc_NjWPAzkmb0GqyS7rYEGBGQ_3_2"/>
      <w:bookmarkStart w:id="30" w:name="Tc_CCfwEC17z0ClaZJrznaNBA_2_2"/>
      <w:bookmarkStart w:id="31" w:name="Tc_sEhTa6m3H0K-Nf--26i1xg_2_1"/>
      <w:bookmarkStart w:id="32" w:name="Tc_dJi7Jff7FkinDY9lQ7AYRw_1_3"/>
      <w:bookmarkStart w:id="33" w:name="Tc_sRTRnoHGuEeYHSkjSbsJ4w_1_2"/>
      <w:bookmarkStart w:id="34" w:name="Tc_rEE5oShwPUCWnT9ffX5HFA_1_1"/>
      <w:bookmarkStart w:id="35" w:name="Tc_xHL49f59ekGsrD448s8HtQ_1_0"/>
      <w:bookmarkStart w:id="36" w:name="_75318a97_28cb_4227_9da3_2962a1e3c930"/>
      <w:bookmarkStart w:id="37" w:name="Tc_NjWPAzkmb0GqyS7rYEGBGQ_3_2"/>
      <w:bookmarkStart w:id="38" w:name="Tc_CCfwEC17z0ClaZJrznaNBA_2_2"/>
      <w:bookmarkStart w:id="39" w:name="Tc_sEhTa6m3H0K-Nf--26i1xg_2_1"/>
      <w:bookmarkStart w:id="40" w:name="Tc_dJi7Jff7FkinDY9lQ7AYRw_1_3"/>
      <w:bookmarkStart w:id="41" w:name="Tc_sRTRnoHGuEeYHSkjSbsJ4w_1_2"/>
      <w:bookmarkStart w:id="42" w:name="Tc_rEE5oShwPUCWnT9ffX5HFA_1_1"/>
      <w:bookmarkStart w:id="43" w:name="Tc_xHL49f59ekGsrD448s8HtQ_1_0"/>
      <w:bookmarkStart w:id="44" w:name="_75318a97_28cb_4227_9da3_2962a1e3c930"/>
      <w:bookmarkEnd w:id="37"/>
      <w:bookmarkEnd w:id="38"/>
      <w:bookmarkEnd w:id="39"/>
      <w:bookmarkEnd w:id="40"/>
      <w:bookmarkEnd w:id="41"/>
      <w:bookmarkEnd w:id="42"/>
      <w:bookmarkEnd w:id="43"/>
      <w:bookmarkEnd w:id="44"/>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175260"/>
                      <wp:effectExtent l="0" t="0" r="0" b="0"/>
                      <wp:wrapNone/>
                      <wp:docPr id="1" name="Frame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86510" cy="175260"/>
                      <wp:effectExtent l="0" t="0" r="0" b="0"/>
                      <wp:wrapNone/>
                      <wp:docPr id="3" name="Frame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
        <w:ind w:left="0" w:right="0" w:firstLine="360"/>
        <w:jc w:val="both"/>
        <w:rPr>
          <w:rFonts w:ascii="Times New Roman;Times;serif" w:hAnsi="Times New Roman;Times;serif"/>
          <w:sz w:val="16"/>
        </w:rPr>
      </w:pPr>
      <w:r>
        <w:rPr>
          <w:rFonts w:ascii="Times New Roman;Times;serif" w:hAnsi="Times New Roman;Times;serif"/>
          <w:sz w:val="16"/>
        </w:rPr>
        <w:t>On August 13, 2026, there were 17,060,131 shares of common stock, $0.0001 par value per share (“Common Stock”), issued and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lineRule="atLeast" w:line="142"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24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_65d57f3a_673d_4800_9a4d_f8b09b3aace2"/>
      <w:bookmarkEnd w:id="45"/>
      <w:r>
        <w:rPr>
          <w:rFonts w:ascii="Times New Roman;Times;serif" w:hAnsi="Times New Roman;Times;serif"/>
          <w:b/>
          <w:sz w:val="20"/>
        </w:rPr>
        <w:t>BINAH CAPITAL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Quarterly Report on Form 10-Q</w:t>
      </w:r>
    </w:p>
    <w:p>
      <w:pPr>
        <w:pStyle w:val="TextBody"/>
        <w:bidi w:val="0"/>
        <w:spacing w:before="0" w:after="240"/>
        <w:ind w:left="0" w:right="0" w:hanging="0"/>
        <w:jc w:val="center"/>
        <w:rPr>
          <w:rFonts w:ascii="Times New Roman;Times;serif" w:hAnsi="Times New Roman;Times;serif"/>
          <w:b/>
          <w:sz w:val="20"/>
        </w:rPr>
      </w:pPr>
      <w:bookmarkStart w:id="46" w:name="TOC"/>
      <w:bookmarkEnd w:id="4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24"/>
        <w:gridCol w:w="9119"/>
        <w:gridCol w:w="362"/>
      </w:tblGrid>
      <w:tr>
        <w:trPr/>
        <w:tc>
          <w:tcPr>
            <w:tcW w:w="9843" w:type="dxa"/>
            <w:gridSpan w:val="2"/>
            <w:tcBorders/>
            <w:vAlign w:val="center"/>
          </w:tcPr>
          <w:p>
            <w:pPr>
              <w:pStyle w:val="TableContents"/>
              <w:bidi w:val="0"/>
              <w:spacing w:before="0" w:after="0"/>
              <w:ind w:left="0" w:right="0" w:hanging="0"/>
              <w:jc w:val="left"/>
              <w:rPr/>
            </w:pPr>
            <w:hyperlink w:anchor="PARTIFINANCIALINFORMATION_515957">
              <w:r>
                <w:rPr>
                  <w:rStyle w:val="InternetLink"/>
                  <w:rFonts w:ascii="Times New Roman;Times;serif" w:hAnsi="Times New Roman;Times;serif"/>
                  <w:b w:val="false"/>
                  <w:i w:val="false"/>
                  <w:caps w:val="false"/>
                  <w:smallCaps w:val="false"/>
                  <w:sz w:val="20"/>
                </w:rPr>
                <w:t>PART I. FINANCIAL INFORMATION</w:t>
              </w:r>
            </w:hyperlink>
          </w:p>
        </w:tc>
        <w:tc>
          <w:tcPr>
            <w:tcW w:w="362"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hyperlink w:anchor="Item1FinancialStatements_550132">
              <w:r>
                <w:rPr>
                  <w:rStyle w:val="InternetLink"/>
                  <w:rFonts w:ascii="Times New Roman;Times;serif" w:hAnsi="Times New Roman;Times;serif"/>
                  <w:b w:val="false"/>
                  <w:i w:val="false"/>
                  <w:caps w:val="false"/>
                  <w:smallCaps w:val="false"/>
                  <w:sz w:val="20"/>
                </w:rPr>
                <w:t>Item 1.</w:t>
              </w:r>
            </w:hyperlink>
          </w:p>
        </w:tc>
        <w:tc>
          <w:tcPr>
            <w:tcW w:w="9119" w:type="dxa"/>
            <w:tcBorders/>
            <w:vAlign w:val="center"/>
          </w:tcPr>
          <w:p>
            <w:pPr>
              <w:pStyle w:val="TableContents"/>
              <w:bidi w:val="0"/>
              <w:spacing w:before="0" w:after="0"/>
              <w:ind w:left="0" w:right="0" w:hanging="0"/>
              <w:jc w:val="left"/>
              <w:rPr/>
            </w:pPr>
            <w:hyperlink w:anchor="Item1FinancialStatements_550132">
              <w:r>
                <w:rPr>
                  <w:rStyle w:val="InternetLink"/>
                  <w:rFonts w:ascii="Times New Roman;Times;serif" w:hAnsi="Times New Roman;Times;serif"/>
                  <w:b w:val="false"/>
                  <w:i w:val="false"/>
                  <w:caps w:val="false"/>
                  <w:smallCaps w:val="false"/>
                  <w:sz w:val="20"/>
                </w:rPr>
                <w:t>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24"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hyperlink w:anchor="CONDENSEDCONSOLIDATEDSTATEMENTSOFFINANCI">
              <w:r>
                <w:rPr>
                  <w:rStyle w:val="InternetLink"/>
                  <w:rFonts w:ascii="Times New Roman;Times;serif" w:hAnsi="Times New Roman;Times;serif"/>
                  <w:b w:val="false"/>
                  <w:i w:val="false"/>
                  <w:caps w:val="false"/>
                  <w:smallCaps w:val="false"/>
                  <w:sz w:val="20"/>
                </w:rPr>
                <w:t>Condensed Consolidated Statements of Financial Condition as of June 30, 2026 (Unaudited) and December 31, 2025</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24"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hyperlink w:anchor="STATEMENTSOFOPERATIONS_587505">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24"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(Loss) for the three and six months ended June 30, 2026 and 2025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24"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hyperlink w:anchor="STOCKHOLDERSEQUITY_558661">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2025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24"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hyperlink w:anchor="STATEMENTSOFCASHFLOWS_853689">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4"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9119"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2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9119"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24" w:type="dxa"/>
            <w:tcBorders/>
            <w:vAlign w:val="center"/>
          </w:tcPr>
          <w:p>
            <w:pPr>
              <w:pStyle w:val="TableContents"/>
              <w:bidi w:val="0"/>
              <w:spacing w:before="0" w:after="0"/>
              <w:ind w:left="0" w:right="0" w:hanging="0"/>
              <w:jc w:val="left"/>
              <w:rPr/>
            </w:pPr>
            <w:hyperlink w:anchor="Item4ControlsandProcedures_897667">
              <w:r>
                <w:rPr>
                  <w:rStyle w:val="InternetLink"/>
                  <w:rFonts w:ascii="Times New Roman;Times;serif" w:hAnsi="Times New Roman;Times;serif"/>
                  <w:b w:val="false"/>
                  <w:i w:val="false"/>
                  <w:caps w:val="false"/>
                  <w:smallCaps w:val="false"/>
                  <w:sz w:val="20"/>
                </w:rPr>
                <w:t>Item 4.</w:t>
              </w:r>
            </w:hyperlink>
          </w:p>
        </w:tc>
        <w:tc>
          <w:tcPr>
            <w:tcW w:w="9119" w:type="dxa"/>
            <w:tcBorders/>
            <w:vAlign w:val="center"/>
          </w:tcPr>
          <w:p>
            <w:pPr>
              <w:pStyle w:val="TableContents"/>
              <w:bidi w:val="0"/>
              <w:spacing w:before="0" w:after="0"/>
              <w:ind w:left="0" w:right="0" w:hanging="0"/>
              <w:jc w:val="left"/>
              <w:rPr/>
            </w:pPr>
            <w:hyperlink w:anchor="Item4ControlsandProcedures_897667">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24"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PARTIIOTHERINFORMATION_669421">
              <w:r>
                <w:rPr>
                  <w:rStyle w:val="InternetLink"/>
                  <w:rFonts w:ascii="Times New Roman;Times;serif" w:hAnsi="Times New Roman;Times;serif"/>
                  <w:b w:val="false"/>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pPr>
            <w:r>
              <w:rPr/>
              <w:t>​</w:t>
            </w:r>
          </w:p>
        </w:tc>
      </w:tr>
      <w:tr>
        <w:trPr/>
        <w:tc>
          <w:tcPr>
            <w:tcW w:w="724" w:type="dxa"/>
            <w:tcBorders/>
            <w:vAlign w:val="center"/>
          </w:tcPr>
          <w:p>
            <w:pPr>
              <w:pStyle w:val="TableContents"/>
              <w:bidi w:val="0"/>
              <w:spacing w:before="0" w:after="0"/>
              <w:ind w:left="0" w:right="0" w:hanging="0"/>
              <w:jc w:val="left"/>
              <w:rPr/>
            </w:pPr>
            <w:hyperlink w:anchor="Item1LegalProceedings_136582">
              <w:r>
                <w:rPr>
                  <w:rStyle w:val="InternetLink"/>
                  <w:rFonts w:ascii="Times New Roman;Times;serif" w:hAnsi="Times New Roman;Times;serif"/>
                  <w:b w:val="false"/>
                  <w:i w:val="false"/>
                  <w:caps w:val="false"/>
                  <w:smallCaps w:val="false"/>
                  <w:sz w:val="20"/>
                </w:rPr>
                <w:t>Item 1.</w:t>
              </w:r>
            </w:hyperlink>
          </w:p>
        </w:tc>
        <w:tc>
          <w:tcPr>
            <w:tcW w:w="9119" w:type="dxa"/>
            <w:tcBorders/>
            <w:vAlign w:val="center"/>
          </w:tcPr>
          <w:p>
            <w:pPr>
              <w:pStyle w:val="TableContents"/>
              <w:bidi w:val="0"/>
              <w:spacing w:before="0" w:after="0"/>
              <w:ind w:left="0" w:right="0" w:hanging="0"/>
              <w:jc w:val="left"/>
              <w:rPr/>
            </w:pPr>
            <w:hyperlink w:anchor="Item1LegalProceedings_136582">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24" w:type="dxa"/>
            <w:tcBorders/>
            <w:vAlign w:val="center"/>
          </w:tcPr>
          <w:p>
            <w:pPr>
              <w:pStyle w:val="TableContents"/>
              <w:bidi w:val="0"/>
              <w:spacing w:before="0" w:after="0"/>
              <w:ind w:left="0" w:right="0" w:hanging="0"/>
              <w:jc w:val="left"/>
              <w:rPr/>
            </w:pPr>
            <w:hyperlink w:anchor="Item1ARiskFactors_232141">
              <w:r>
                <w:rPr>
                  <w:rStyle w:val="InternetLink"/>
                  <w:rFonts w:ascii="Times New Roman;Times;serif" w:hAnsi="Times New Roman;Times;serif"/>
                  <w:b w:val="false"/>
                  <w:i w:val="false"/>
                  <w:caps w:val="false"/>
                  <w:smallCaps w:val="false"/>
                  <w:sz w:val="20"/>
                </w:rPr>
                <w:t>Item 1A.</w:t>
              </w:r>
            </w:hyperlink>
          </w:p>
        </w:tc>
        <w:tc>
          <w:tcPr>
            <w:tcW w:w="9119" w:type="dxa"/>
            <w:tcBorders/>
            <w:vAlign w:val="center"/>
          </w:tcPr>
          <w:p>
            <w:pPr>
              <w:pStyle w:val="TableContents"/>
              <w:bidi w:val="0"/>
              <w:spacing w:before="0" w:after="0"/>
              <w:ind w:left="0" w:right="0" w:hanging="0"/>
              <w:jc w:val="left"/>
              <w:rPr/>
            </w:pPr>
            <w:hyperlink w:anchor="Item1ARiskFactors_232141">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2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119"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24" w:type="dxa"/>
            <w:tcBorders/>
            <w:vAlign w:val="center"/>
          </w:tcPr>
          <w:p>
            <w:pPr>
              <w:pStyle w:val="TableContents"/>
              <w:bidi w:val="0"/>
              <w:spacing w:before="0" w:after="0"/>
              <w:ind w:left="0" w:right="0" w:hanging="0"/>
              <w:jc w:val="left"/>
              <w:rPr/>
            </w:pPr>
            <w:hyperlink w:anchor="Item3DefaultsUponSeniorSecurities_274430">
              <w:r>
                <w:rPr>
                  <w:rStyle w:val="InternetLink"/>
                  <w:rFonts w:ascii="Times New Roman;Times;serif" w:hAnsi="Times New Roman;Times;serif"/>
                  <w:b w:val="false"/>
                  <w:i w:val="false"/>
                  <w:caps w:val="false"/>
                  <w:smallCaps w:val="false"/>
                  <w:sz w:val="20"/>
                </w:rPr>
                <w:t>Item 3.</w:t>
              </w:r>
            </w:hyperlink>
          </w:p>
        </w:tc>
        <w:tc>
          <w:tcPr>
            <w:tcW w:w="9119" w:type="dxa"/>
            <w:tcBorders/>
            <w:vAlign w:val="center"/>
          </w:tcPr>
          <w:p>
            <w:pPr>
              <w:pStyle w:val="TableContents"/>
              <w:bidi w:val="0"/>
              <w:spacing w:before="0" w:after="0"/>
              <w:ind w:left="0" w:right="0" w:hanging="0"/>
              <w:jc w:val="left"/>
              <w:rPr/>
            </w:pPr>
            <w:hyperlink w:anchor="Item3DefaultsUponSeniorSecurities_274430">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24" w:type="dxa"/>
            <w:tcBorders/>
            <w:vAlign w:val="center"/>
          </w:tcPr>
          <w:p>
            <w:pPr>
              <w:pStyle w:val="TableContents"/>
              <w:bidi w:val="0"/>
              <w:spacing w:before="0" w:after="0"/>
              <w:ind w:left="0" w:right="0" w:hanging="0"/>
              <w:jc w:val="left"/>
              <w:rPr/>
            </w:pPr>
            <w:hyperlink w:anchor="Item4MineSafetyDisclosures_234246">
              <w:r>
                <w:rPr>
                  <w:rStyle w:val="InternetLink"/>
                  <w:rFonts w:ascii="Times New Roman;Times;serif" w:hAnsi="Times New Roman;Times;serif"/>
                  <w:b w:val="false"/>
                  <w:i w:val="false"/>
                  <w:caps w:val="false"/>
                  <w:smallCaps w:val="false"/>
                  <w:sz w:val="20"/>
                </w:rPr>
                <w:t>Item 4.</w:t>
              </w:r>
            </w:hyperlink>
          </w:p>
        </w:tc>
        <w:tc>
          <w:tcPr>
            <w:tcW w:w="9119" w:type="dxa"/>
            <w:tcBorders/>
            <w:vAlign w:val="center"/>
          </w:tcPr>
          <w:p>
            <w:pPr>
              <w:pStyle w:val="TableContents"/>
              <w:bidi w:val="0"/>
              <w:spacing w:before="0" w:after="0"/>
              <w:ind w:left="0" w:right="0" w:hanging="0"/>
              <w:jc w:val="left"/>
              <w:rPr/>
            </w:pPr>
            <w:hyperlink w:anchor="Item4MineSafetyDisclosures_234246">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24" w:type="dxa"/>
            <w:tcBorders/>
            <w:vAlign w:val="center"/>
          </w:tcPr>
          <w:p>
            <w:pPr>
              <w:pStyle w:val="TableContents"/>
              <w:bidi w:val="0"/>
              <w:spacing w:before="0" w:after="0"/>
              <w:ind w:left="0" w:right="0" w:hanging="0"/>
              <w:jc w:val="left"/>
              <w:rPr/>
            </w:pPr>
            <w:hyperlink w:anchor="Item5OtherInformation_394466">
              <w:r>
                <w:rPr>
                  <w:rStyle w:val="InternetLink"/>
                  <w:rFonts w:ascii="Times New Roman;Times;serif" w:hAnsi="Times New Roman;Times;serif"/>
                  <w:b w:val="false"/>
                  <w:i w:val="false"/>
                  <w:caps w:val="false"/>
                  <w:smallCaps w:val="false"/>
                  <w:sz w:val="20"/>
                </w:rPr>
                <w:t>Item 5.</w:t>
              </w:r>
            </w:hyperlink>
          </w:p>
        </w:tc>
        <w:tc>
          <w:tcPr>
            <w:tcW w:w="9119" w:type="dxa"/>
            <w:tcBorders/>
            <w:vAlign w:val="center"/>
          </w:tcPr>
          <w:p>
            <w:pPr>
              <w:pStyle w:val="TableContents"/>
              <w:bidi w:val="0"/>
              <w:spacing w:before="0" w:after="0"/>
              <w:ind w:left="0" w:right="0" w:hanging="0"/>
              <w:jc w:val="left"/>
              <w:rPr/>
            </w:pPr>
            <w:hyperlink w:anchor="Item5OtherInformation_394466">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24" w:type="dxa"/>
            <w:tcBorders/>
            <w:vAlign w:val="center"/>
          </w:tcPr>
          <w:p>
            <w:pPr>
              <w:pStyle w:val="TableContents"/>
              <w:bidi w:val="0"/>
              <w:spacing w:before="0" w:after="0"/>
              <w:ind w:left="0" w:right="0" w:hanging="0"/>
              <w:jc w:val="left"/>
              <w:rPr/>
            </w:pPr>
            <w:hyperlink w:anchor="Item6Exhibits_564430">
              <w:r>
                <w:rPr>
                  <w:rStyle w:val="InternetLink"/>
                  <w:rFonts w:ascii="Times New Roman;Times;serif" w:hAnsi="Times New Roman;Times;serif"/>
                  <w:b w:val="false"/>
                  <w:i w:val="false"/>
                  <w:caps w:val="false"/>
                  <w:smallCaps w:val="false"/>
                  <w:sz w:val="20"/>
                </w:rPr>
                <w:t>Item 6.</w:t>
              </w:r>
            </w:hyperlink>
          </w:p>
        </w:tc>
        <w:tc>
          <w:tcPr>
            <w:tcW w:w="9119" w:type="dxa"/>
            <w:tcBorders/>
            <w:vAlign w:val="center"/>
          </w:tcPr>
          <w:p>
            <w:pPr>
              <w:pStyle w:val="TableContents"/>
              <w:bidi w:val="0"/>
              <w:spacing w:before="0" w:after="0"/>
              <w:ind w:left="0" w:right="0" w:hanging="0"/>
              <w:jc w:val="left"/>
              <w:rPr/>
            </w:pPr>
            <w:hyperlink w:anchor="Item6Exhibits_564430">
              <w:r>
                <w:rPr>
                  <w:rStyle w:val="InternetLink"/>
                  <w:rFonts w:ascii="Times New Roman;Times;serif" w:hAnsi="Times New Roman;Times;serif"/>
                  <w:b w:val="false"/>
                  <w:i w:val="false"/>
                  <w:caps w:val="false"/>
                  <w:smallCaps w:val="false"/>
                  <w:sz w:val="20"/>
                </w:rPr>
                <w:t>Exhibits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24" w:type="dxa"/>
            <w:tcBorders/>
            <w:vAlign w:val="center"/>
          </w:tcPr>
          <w:p>
            <w:pPr>
              <w:pStyle w:val="TableContents"/>
              <w:bidi w:val="0"/>
              <w:spacing w:before="0" w:after="0"/>
              <w:ind w:left="0" w:right="0" w:hanging="0"/>
              <w:jc w:val="left"/>
              <w:rPr/>
            </w:pPr>
            <w:r>
              <w:rPr/>
              <w:t>​</w:t>
            </w:r>
          </w:p>
        </w:tc>
        <w:tc>
          <w:tcPr>
            <w:tcW w:w="9119"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SIGNATURES_94574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7" w:name="_2accc97c_b25e_4884_b9af_7215b8d11d94"/>
      <w:bookmarkEnd w:id="47"/>
      <w:r>
        <w:rPr>
          <w:rFonts w:ascii="Times New Roman;Times;serif" w:hAnsi="Times New Roman;Times;serif"/>
          <w:b/>
          <w:sz w:val="20"/>
        </w:rPr>
        <w:t>Cautionary Note Regarding Forward-Looking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includes forward-looking statements within the meaning of Section 27A of the Securities Act of 1933, as amended, and Section 21E of the Securities Exchange Act of 1934, as amended (the “Exchange Act”). The words “anticipate,” “believe,” “continue,” “could,” “estimate,” “expect,” “intend,” “may,” “might,” “plan,” “project,” “will,” “would,” “seek,” or “should,” or the negative or plural of these words or similar expressions or variations are intended to identify such forward-looking statements. These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Risks and uncertainties that may cause actual results to differ materially from forward-looking statements include, but are not limited to, those identified in our Annual Report on Form 10-K for the year ended December 31, 2025 filed with the U.S. Securities and Exchange Commission in the sections titled “Risk Factor Summary” and “Risk Factors” set forth in Part I, Item 1A thereof, as well as our other filings made from time to time with the U.S. Securities and Exchange Commission filings.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undertake no obligation to update forward-looking statements to reflect actual results or changes in assumptions or circumstances, except as required by applicable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8" w:name="PARTIFINANCIALINFORMATION_515957"/>
      <w:bookmarkStart w:id="49" w:name="_e3ce28dc_6beb_4e56_8c48_d49b1a215f22"/>
      <w:bookmarkEnd w:id="48"/>
      <w:bookmarkEnd w:id="49"/>
      <w:r>
        <w:rPr>
          <w:rFonts w:ascii="Times New Roman;Times;serif" w:hAnsi="Times New Roman;Times;serif"/>
          <w:b/>
          <w:sz w:val="20"/>
        </w:rPr>
        <w:t>PART I—FINANCIAL INFORMATION</w:t>
      </w:r>
    </w:p>
    <w:p>
      <w:pPr>
        <w:pStyle w:val="TextBody"/>
        <w:bidi w:val="0"/>
        <w:spacing w:before="0" w:after="160"/>
        <w:ind w:left="0" w:right="0" w:hanging="0"/>
        <w:jc w:val="left"/>
        <w:rPr>
          <w:rFonts w:ascii="Times New Roman;Times;serif" w:hAnsi="Times New Roman;Times;serif"/>
          <w:b/>
          <w:sz w:val="20"/>
        </w:rPr>
      </w:pPr>
      <w:bookmarkStart w:id="50" w:name="Item1FinancialStatements_550132"/>
      <w:bookmarkEnd w:id="5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51" w:name="CONDENSEDCONSOLIDATEDSTATEMENTSOFFINANCI"/>
      <w:bookmarkEnd w:id="51"/>
      <w:r>
        <w:rPr>
          <w:rFonts w:ascii="Times New Roman;Times;serif" w:hAnsi="Times New Roman;Times;serif"/>
          <w:b/>
          <w:sz w:val="20"/>
        </w:rPr>
        <w:t>CONDENSED CONSOLIDATED STATEMENTS OF FINANCIAL CONDITION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 w:name="Tc_3zqKueqzB061tJPP4siogw_39_5"/>
      <w:bookmarkStart w:id="53" w:name="Tc_neZ0FIiK3kmwPPwBT8pIkA_39_2"/>
      <w:bookmarkStart w:id="54" w:name="Tc_oG9MXtc2Akm0KFkDJojtVA_39_0"/>
      <w:bookmarkStart w:id="55" w:name="Tc_qlMZdHSP3kK0tH0Rr-7ioA_37_0"/>
      <w:bookmarkStart w:id="56" w:name="Tc_5J9oW4Cp_EW6vSGUxYFCpA_36_0"/>
      <w:bookmarkStart w:id="57" w:name="Tc_ao2I9Q1e8kK2uH_CmWv2gg_35_0"/>
      <w:bookmarkStart w:id="58" w:name="Tc_M4lma4l5ckGHZM-HmArIwQ_34_0"/>
      <w:bookmarkStart w:id="59" w:name="Tc_A0-YAmI41kSYMFUs0ApoGw_33_0"/>
      <w:bookmarkStart w:id="60" w:name="Tc_Z6kR1upJVU-jEfVXYznIfg_32_0"/>
      <w:bookmarkStart w:id="61" w:name="Tc_dYhkKdyTu0Cb4sBsaS8HTw_31_0"/>
      <w:bookmarkStart w:id="62" w:name="Tc_tXXParXleU6AvuPzd4Nikg_30_0"/>
      <w:bookmarkStart w:id="63" w:name="Tc_aOwKy1Bu7kqkxpqdQLCoDg_29_0"/>
      <w:bookmarkStart w:id="64" w:name="Tc_P8QQuPtOd0-tF2X5nLdCig_27_0"/>
      <w:bookmarkStart w:id="65" w:name="Tc_R0V7rfUBj0aF9tIzH55PeA_25_0"/>
      <w:bookmarkStart w:id="66" w:name="Tc_Ghh7nHRknkOE2PM2F4dZQQ_24_0"/>
      <w:bookmarkStart w:id="67" w:name="Tc_ErujlokKq0i6Mngwki-aQQ_23_0"/>
      <w:bookmarkStart w:id="68" w:name="Tc_Q2oAaaPXfE-vdV-CtA0suw_22_0"/>
      <w:bookmarkStart w:id="69" w:name="Tc_mvtvyVKvaEGB9Q0i9j61PA_21_5"/>
      <w:bookmarkStart w:id="70" w:name="Tc_FaKy9ulLiUq4MdAwLIEU3g_21_2"/>
      <w:bookmarkStart w:id="71" w:name="Tc_YPxjtAw87k-5__oXiKAVpA_21_0"/>
      <w:bookmarkStart w:id="72" w:name="Tc_oNhXk-8OsEqJbFUQbasU8w_20_0"/>
      <w:bookmarkStart w:id="73" w:name="Tc_Zuxq_S3Smk2Cj4Dt1hPzqA_18_0"/>
      <w:bookmarkStart w:id="74" w:name="Tc_awy5oqigzkKYH78EOlAw3w_16_5"/>
      <w:bookmarkStart w:id="75" w:name="Tc_z8p3e-U0606k1iPmYvNuKg_16_2"/>
      <w:bookmarkStart w:id="76" w:name="Tc_MRIPpwfu7EG8P1M2OANUOA_16_0"/>
      <w:bookmarkStart w:id="77" w:name="Tc_Fdf2FUeSm0SXq4RpIzJbIQ_14_0"/>
      <w:bookmarkStart w:id="78" w:name="Tc_O8KVc5mq006EV5K_qwUlYA_13_0"/>
      <w:bookmarkStart w:id="79" w:name="Tc_UhRBOltZX0iuaHsrKl4P4Q_12_0"/>
      <w:bookmarkStart w:id="80" w:name="Tc_8yhQpusYH0OttzrKbtNcmw_11_0"/>
      <w:bookmarkStart w:id="81" w:name="Tc_wqKw7amEPEmM0lpnjxUkYQ_10_0"/>
      <w:bookmarkStart w:id="82" w:name="Tc_jxiXhCtSx0q5udU4pnG7ig_9_0"/>
      <w:bookmarkStart w:id="83" w:name="Tc_0Dcy9-GnpU-QW3vi_0R1Ew_8_0"/>
      <w:bookmarkStart w:id="84" w:name="Tc_ZPWXfyQCA06qifhzx1JjzA_7_0"/>
      <w:bookmarkStart w:id="85" w:name="Tc_vCi6iP9XmkiEWXbcVv9Llw_6_0"/>
      <w:bookmarkStart w:id="86" w:name="Tc_2eACF-Yqf0OemFQ1PFf-Vw_5_5"/>
      <w:bookmarkStart w:id="87" w:name="Tc_PXvSrMeTn0G9YL4qOCx1QA_5_2"/>
      <w:bookmarkStart w:id="88" w:name="Tc_DIjk_k-_yUi7zPIIm4g-oA_5_0"/>
      <w:bookmarkStart w:id="89" w:name="Tc_bS-Lq3aAGkCLy-h68UNS1Q_4_0"/>
      <w:bookmarkStart w:id="90" w:name="Tc_34G8vesk9kOzTfQ5GHHQag_3_0"/>
      <w:bookmarkStart w:id="91" w:name="Tc_2yCTYJQEJkqMwO9wkKyqGg_2_5"/>
      <w:bookmarkStart w:id="92" w:name="Tc_RpOueMFjxEqtjaA5s0_kog_2_2"/>
      <w:bookmarkStart w:id="93" w:name="Tc_YX43XWpN306-WlKB-oojIw_1_2"/>
      <w:bookmarkStart w:id="94" w:name="_5230e56f_4ef0_4138_93cb_108e574251d6"/>
      <w:bookmarkStart w:id="95" w:name="Tc_3zqKueqzB061tJPP4siogw_39_5"/>
      <w:bookmarkStart w:id="96" w:name="Tc_neZ0FIiK3kmwPPwBT8pIkA_39_2"/>
      <w:bookmarkStart w:id="97" w:name="Tc_oG9MXtc2Akm0KFkDJojtVA_39_0"/>
      <w:bookmarkStart w:id="98" w:name="Tc_qlMZdHSP3kK0tH0Rr-7ioA_37_0"/>
      <w:bookmarkStart w:id="99" w:name="Tc_5J9oW4Cp_EW6vSGUxYFCpA_36_0"/>
      <w:bookmarkStart w:id="100" w:name="Tc_ao2I9Q1e8kK2uH_CmWv2gg_35_0"/>
      <w:bookmarkStart w:id="101" w:name="Tc_M4lma4l5ckGHZM-HmArIwQ_34_0"/>
      <w:bookmarkStart w:id="102" w:name="Tc_A0-YAmI41kSYMFUs0ApoGw_33_0"/>
      <w:bookmarkStart w:id="103" w:name="Tc_Z6kR1upJVU-jEfVXYznIfg_32_0"/>
      <w:bookmarkStart w:id="104" w:name="Tc_dYhkKdyTu0Cb4sBsaS8HTw_31_0"/>
      <w:bookmarkStart w:id="105" w:name="Tc_tXXParXleU6AvuPzd4Nikg_30_0"/>
      <w:bookmarkStart w:id="106" w:name="Tc_aOwKy1Bu7kqkxpqdQLCoDg_29_0"/>
      <w:bookmarkStart w:id="107" w:name="Tc_P8QQuPtOd0-tF2X5nLdCig_27_0"/>
      <w:bookmarkStart w:id="108" w:name="Tc_R0V7rfUBj0aF9tIzH55PeA_25_0"/>
      <w:bookmarkStart w:id="109" w:name="Tc_Ghh7nHRknkOE2PM2F4dZQQ_24_0"/>
      <w:bookmarkStart w:id="110" w:name="Tc_ErujlokKq0i6Mngwki-aQQ_23_0"/>
      <w:bookmarkStart w:id="111" w:name="Tc_Q2oAaaPXfE-vdV-CtA0suw_22_0"/>
      <w:bookmarkStart w:id="112" w:name="Tc_mvtvyVKvaEGB9Q0i9j61PA_21_5"/>
      <w:bookmarkStart w:id="113" w:name="Tc_FaKy9ulLiUq4MdAwLIEU3g_21_2"/>
      <w:bookmarkStart w:id="114" w:name="Tc_YPxjtAw87k-5__oXiKAVpA_21_0"/>
      <w:bookmarkStart w:id="115" w:name="Tc_oNhXk-8OsEqJbFUQbasU8w_20_0"/>
      <w:bookmarkStart w:id="116" w:name="Tc_Zuxq_S3Smk2Cj4Dt1hPzqA_18_0"/>
      <w:bookmarkStart w:id="117" w:name="Tc_awy5oqigzkKYH78EOlAw3w_16_5"/>
      <w:bookmarkStart w:id="118" w:name="Tc_z8p3e-U0606k1iPmYvNuKg_16_2"/>
      <w:bookmarkStart w:id="119" w:name="Tc_MRIPpwfu7EG8P1M2OANUOA_16_0"/>
      <w:bookmarkStart w:id="120" w:name="Tc_Fdf2FUeSm0SXq4RpIzJbIQ_14_0"/>
      <w:bookmarkStart w:id="121" w:name="Tc_O8KVc5mq006EV5K_qwUlYA_13_0"/>
      <w:bookmarkStart w:id="122" w:name="Tc_UhRBOltZX0iuaHsrKl4P4Q_12_0"/>
      <w:bookmarkStart w:id="123" w:name="Tc_8yhQpusYH0OttzrKbtNcmw_11_0"/>
      <w:bookmarkStart w:id="124" w:name="Tc_wqKw7amEPEmM0lpnjxUkYQ_10_0"/>
      <w:bookmarkStart w:id="125" w:name="Tc_jxiXhCtSx0q5udU4pnG7ig_9_0"/>
      <w:bookmarkStart w:id="126" w:name="Tc_0Dcy9-GnpU-QW3vi_0R1Ew_8_0"/>
      <w:bookmarkStart w:id="127" w:name="Tc_ZPWXfyQCA06qifhzx1JjzA_7_0"/>
      <w:bookmarkStart w:id="128" w:name="Tc_vCi6iP9XmkiEWXbcVv9Llw_6_0"/>
      <w:bookmarkStart w:id="129" w:name="Tc_2eACF-Yqf0OemFQ1PFf-Vw_5_5"/>
      <w:bookmarkStart w:id="130" w:name="Tc_PXvSrMeTn0G9YL4qOCx1QA_5_2"/>
      <w:bookmarkStart w:id="131" w:name="Tc_DIjk_k-_yUi7zPIIm4g-oA_5_0"/>
      <w:bookmarkStart w:id="132" w:name="Tc_bS-Lq3aAGkCLy-h68UNS1Q_4_0"/>
      <w:bookmarkStart w:id="133" w:name="Tc_34G8vesk9kOzTfQ5GHHQag_3_0"/>
      <w:bookmarkStart w:id="134" w:name="Tc_2yCTYJQEJkqMwO9wkKyqGg_2_5"/>
      <w:bookmarkStart w:id="135" w:name="Tc_RpOueMFjxEqtjaA5s0_kog_2_2"/>
      <w:bookmarkStart w:id="136" w:name="Tc_YX43XWpN306-WlKB-oojIw_1_2"/>
      <w:bookmarkStart w:id="137" w:name="_5230e56f_4ef0_4138_93cb_108e574251d6"/>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10205" w:type="dxa"/>
        <w:jc w:val="left"/>
        <w:tblInd w:w="0" w:type="dxa"/>
        <w:tblLayout w:type="fixed"/>
        <w:tblCellMar>
          <w:top w:w="0" w:type="dxa"/>
          <w:left w:w="0" w:type="dxa"/>
          <w:bottom w:w="0" w:type="dxa"/>
          <w:right w:w="0" w:type="dxa"/>
        </w:tblCellMar>
      </w:tblPr>
      <w:tblGrid>
        <w:gridCol w:w="6841"/>
        <w:gridCol w:w="346"/>
        <w:gridCol w:w="257"/>
        <w:gridCol w:w="869"/>
        <w:gridCol w:w="346"/>
        <w:gridCol w:w="335"/>
        <w:gridCol w:w="1211"/>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344035" cy="175260"/>
                      <wp:effectExtent l="0" t="0" r="0" b="0"/>
                      <wp:wrapNone/>
                      <wp:docPr id="5" name="Frame5"/>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3195" cy="175260"/>
                      <wp:effectExtent l="0" t="0" r="0" b="0"/>
                      <wp:wrapNone/>
                      <wp:docPr id="7" name="Frame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51815" cy="175260"/>
                      <wp:effectExtent l="0" t="0" r="0" b="0"/>
                      <wp:wrapNone/>
                      <wp:docPr id="8" name="Frame8"/>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2725" cy="175260"/>
                      <wp:effectExtent l="0" t="0" r="0" b="0"/>
                      <wp:wrapNone/>
                      <wp:docPr id="10" name="Frame1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68985" cy="175260"/>
                      <wp:effectExtent l="0" t="0" r="0" b="0"/>
                      <wp:wrapNone/>
                      <wp:docPr id="11" name="Frame11"/>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pPr>
            <w:r>
              <w:rPr/>
              <w:t> </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841"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center"/>
              <w:rPr/>
            </w:pPr>
            <w:r>
              <w:rPr/>
              <w:t>​</w:t>
            </w:r>
          </w:p>
        </w:tc>
        <w:tc>
          <w:tcPr>
            <w:tcW w:w="86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center"/>
              <w:rPr/>
            </w:pPr>
            <w:r>
              <w:rPr/>
              <w:t>​</w:t>
            </w:r>
          </w:p>
        </w:tc>
        <w:tc>
          <w:tcPr>
            <w:tcW w:w="1211" w:type="dxa"/>
            <w:tcBorders/>
            <w:shd w:fill="CCEEFF" w:val="clear"/>
            <w:vAlign w:val="center"/>
          </w:tcPr>
          <w:p>
            <w:pPr>
              <w:pStyle w:val="TableContents"/>
              <w:bidi w:val="0"/>
              <w:spacing w:before="0" w:after="1"/>
              <w:ind w:left="0" w:right="0" w:hanging="0"/>
              <w:jc w:val="center"/>
              <w:rPr/>
            </w:pPr>
            <w:r>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10,909</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10,716</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Commission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10,901</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10,441</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from clearing broker</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764</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707</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1,199</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1,261</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 of 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3,308</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3,097</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671</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39,839</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39,839</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3,494</w:t>
            </w:r>
          </w:p>
        </w:tc>
        <w:tc>
          <w:tcPr>
            <w:tcW w:w="346" w:type="dxa"/>
            <w:tcBorders/>
            <w:vAlign w:val="center"/>
          </w:tcPr>
          <w:p>
            <w:pPr>
              <w:pStyle w:val="TableContents"/>
              <w:bidi w:val="0"/>
              <w:spacing w:before="0" w:after="1"/>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3,141</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71,183</w:t>
            </w:r>
          </w:p>
        </w:tc>
        <w:tc>
          <w:tcPr>
            <w:tcW w:w="346" w:type="dxa"/>
            <w:tcBorders/>
            <w:vAlign w:val="center"/>
          </w:tcPr>
          <w:p>
            <w:pPr>
              <w:pStyle w:val="TableContents"/>
              <w:bidi w:val="0"/>
              <w:spacing w:before="0" w:after="1"/>
              <w:ind w:left="0" w:right="0" w:hanging="0"/>
              <w:jc w:val="righ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70,215</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pBdr/>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accrued expenses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11,968</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13,103</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Commissions payable</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12,957</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12,632</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3,425</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3,221</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payable, net of unamortized debt issuance costs of $517 and $590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16,738</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17,679</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Promissory notes-affiliates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5,313</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5,313</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50,401</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51,948</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Mezzanine Equity:</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  ​</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Redeemable Series A Convertible Preferred Stock, par value $0.0001, 2,000,000 shares authorized, 1,662,000 and 1,626,000 shares outstanding at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16,038</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15,668</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  ​</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Series B Convertible Preferred Stock, par value $0.0001, 500,000 shares authorized, 150,000 shares issued and outstanding at June 30, 2026 and December 31, 2025</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$0.0001 par value, 55,000,000 authorized, 17,060,131 and 16,716,000 issued and outstanding at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23,465</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 </w:t>
            </w:r>
          </w:p>
        </w:tc>
        <w:tc>
          <w:tcPr>
            <w:tcW w:w="12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23,709</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(20,258)</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right"/>
              <w:rPr/>
            </w:pPr>
            <w:r>
              <w:rPr/>
              <w:t> </w:t>
            </w:r>
          </w:p>
        </w:tc>
        <w:tc>
          <w:tcPr>
            <w:tcW w:w="12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(22,496)</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vAlign w:val="center"/>
          </w:tcPr>
          <w:p>
            <w:pPr>
              <w:pStyle w:val="TableContents"/>
              <w:bidi w:val="0"/>
              <w:spacing w:before="0" w:after="1"/>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Stockholders’ Equity and Mezzanine Equity</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20,782</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18,267</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right"/>
              <w:rPr/>
            </w:pPr>
            <w:r>
              <w:rPr/>
              <w:t>​</w:t>
            </w:r>
          </w:p>
        </w:tc>
        <w:tc>
          <w:tcPr>
            <w:tcW w:w="1211" w:type="dxa"/>
            <w:tcBorders/>
            <w:vAlign w:val="center"/>
          </w:tcPr>
          <w:p>
            <w:pPr>
              <w:pStyle w:val="TableContents"/>
              <w:bidi w:val="0"/>
              <w:spacing w:before="0" w:after="1"/>
              <w:ind w:left="0" w:right="0" w:hanging="0"/>
              <w:jc w:val="righ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MEZZANINE EQUITY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71,183</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70,215</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8" w:name="_719f4d43_d526_4efc_a8f8_af5c3cb5520f"/>
      <w:bookmarkEnd w:id="138"/>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139" w:name="STATEMENTSOFOPERATIONS_587505"/>
      <w:bookmarkEnd w:id="139"/>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140" w:name="Tc_MFONguM_u02D6uDgQ0zzLQ_36_0"/>
      <w:bookmarkStart w:id="141" w:name="Tc_P7SydWmDT0uZ55gsbyS3OA_34_0"/>
      <w:bookmarkStart w:id="142" w:name="Tc_ZQlvdkSvMkGJqUFuOjw46A_32_11"/>
      <w:bookmarkStart w:id="143" w:name="Tc_7vzAiVRtfUeP2oBI3KP__w_32_8"/>
      <w:bookmarkStart w:id="144" w:name="Tc_7bpa3Si2AEiRrUMrgw-hWQ_32_5"/>
      <w:bookmarkStart w:id="145" w:name="Tc_FoqBrc9Og0C9NmG2SzoWtA_32_2"/>
      <w:bookmarkStart w:id="146" w:name="Tc_eWGTuVPidkiGrtCnb0ec5w_32_0"/>
      <w:bookmarkStart w:id="147" w:name="Tc_rZZYM_-TZEqeZiYv9FSRDw_30_11"/>
      <w:bookmarkStart w:id="148" w:name="Tc_ObGcxZMomk2CHeG01gLzOw_30_8"/>
      <w:bookmarkStart w:id="149" w:name="Tc_72S3j0s0K0-a-7PN1AnBXg_30_5"/>
      <w:bookmarkStart w:id="150" w:name="Tc_bnfmLZjOAEGZlfFAHPKzJg_30_2"/>
      <w:bookmarkStart w:id="151" w:name="Tc_eVzbbw8kvEaklffTWDyakg_30_0"/>
      <w:bookmarkStart w:id="152" w:name="Tc_lYmGpb6EuU6TIXq8Pjv-Hg_28_11"/>
      <w:bookmarkStart w:id="153" w:name="Tc_Norv00qCrUKdCnSu1hg21Q_28_8"/>
      <w:bookmarkStart w:id="154" w:name="Tc_x3U-J9y_uEeA3-L-VdDg2Q_28_5"/>
      <w:bookmarkStart w:id="155" w:name="Tc_t6AxYS2pkESQSKkw1c1tBg_28_2"/>
      <w:bookmarkStart w:id="156" w:name="Tc_sFSFk-bHIEeetS9Z_zT5DQ_28_0"/>
      <w:bookmarkStart w:id="157" w:name="Tc_wEIQbHhYOkSIwETGRTcwjw_26_0"/>
      <w:bookmarkStart w:id="158" w:name="Tc_paLuoMPu4kaxOns5iwh21Q_24_0"/>
      <w:bookmarkStart w:id="159" w:name="Tc_0CmQy6MAOE-4irkzIVvv-g_22_0"/>
      <w:bookmarkStart w:id="160" w:name="Tc_GnuForHHQECRV4tiEkjqKg_20_0"/>
      <w:bookmarkStart w:id="161" w:name="Tc_28remAUWeUOqDaXWqNOysA_19_0"/>
      <w:bookmarkStart w:id="162" w:name="Tc_I-rnx4mEBEqqFHdW4YaqqA_18_0"/>
      <w:bookmarkStart w:id="163" w:name="Tc_RUjpi6rm90OmpYjnSTPLOA_17_0"/>
      <w:bookmarkStart w:id="164" w:name="Tc_egYEdbGHXEuwXAkIGiYFoQ_16_0"/>
      <w:bookmarkStart w:id="165" w:name="Tc_zQb8lWqS2UClA3qnFbN1RA_15_0"/>
      <w:bookmarkStart w:id="166" w:name="Tc_zM_Tbg6fsE-g_VURYZ2uMw_14_0"/>
      <w:bookmarkStart w:id="167" w:name="Tc_UeoJAcvEUEGP_0cXE7E_8Q_13_0"/>
      <w:bookmarkStart w:id="168" w:name="Tc_ZQdF8urbGUe-tsG75jdR4g_12_0"/>
      <w:bookmarkStart w:id="169" w:name="Tc_m3mFz3SIQkOWS72tooy-sA_10_0"/>
      <w:bookmarkStart w:id="170" w:name="Tc_v13cH2wiA0G2eeC7fAv10g_8_0"/>
      <w:bookmarkStart w:id="171" w:name="Tc_-3uVrzncAkKc_Ho_LsrZXA_7_0"/>
      <w:bookmarkStart w:id="172" w:name="Tc_cDkfJsIYY0Sc0dwZIwxRMA_6_0"/>
      <w:bookmarkStart w:id="173" w:name="Tc_JfiP2ZNxFUez5aFRGZZFNg_5_11"/>
      <w:bookmarkStart w:id="174" w:name="Tc_Q4Dh8t4LEUO8OrUhY14Qjg_5_8"/>
      <w:bookmarkStart w:id="175" w:name="Tc_pcwxprizN0Oe0iihvKUYow_5_5"/>
      <w:bookmarkStart w:id="176" w:name="Tc_o5aRF1RAUUeCQkORYoP6Mw_5_2"/>
      <w:bookmarkStart w:id="177" w:name="Tc_90w5UYl3WUWnhZGDNI8r8w_5_0"/>
      <w:bookmarkStart w:id="178" w:name="Tc_ymLDhVH0ske8KMkdTyUGhA_4_0"/>
      <w:bookmarkStart w:id="179" w:name="Tc_PgfK7uit_UylYoh8lImm4Q_3_0"/>
      <w:bookmarkStart w:id="180" w:name="Tc_7ZKFoV4pbEWcEb6NBdkWQQ_2_11"/>
      <w:bookmarkStart w:id="181" w:name="Tc_Gu6FRxh_QkCLelRiKP7cGA_2_8"/>
      <w:bookmarkStart w:id="182" w:name="Tc_6RosxcM1PkGWkCXSy6q5mQ_2_5"/>
      <w:bookmarkStart w:id="183" w:name="Tc_hdRiFa0AE0q-yma-JCkn3g_2_2"/>
      <w:bookmarkStart w:id="184" w:name="Tc_iWEmhBzpvEic20a29E3Z8g_1_8"/>
      <w:bookmarkStart w:id="185" w:name="Tc_ce_1asU1tkqgv3pm6SpRwQ_1_2"/>
      <w:bookmarkStart w:id="186" w:name="_0aec8668_cbe0_48b8_a5be_c09b4809ce91"/>
      <w:bookmarkStart w:id="187" w:name="Tc_MFONguM_u02D6uDgQ0zzLQ_36_0"/>
      <w:bookmarkStart w:id="188" w:name="Tc_P7SydWmDT0uZ55gsbyS3OA_34_0"/>
      <w:bookmarkStart w:id="189" w:name="Tc_ZQlvdkSvMkGJqUFuOjw46A_32_11"/>
      <w:bookmarkStart w:id="190" w:name="Tc_7vzAiVRtfUeP2oBI3KP__w_32_8"/>
      <w:bookmarkStart w:id="191" w:name="Tc_7bpa3Si2AEiRrUMrgw-hWQ_32_5"/>
      <w:bookmarkStart w:id="192" w:name="Tc_FoqBrc9Og0C9NmG2SzoWtA_32_2"/>
      <w:bookmarkStart w:id="193" w:name="Tc_eWGTuVPidkiGrtCnb0ec5w_32_0"/>
      <w:bookmarkStart w:id="194" w:name="Tc_rZZYM_-TZEqeZiYv9FSRDw_30_11"/>
      <w:bookmarkStart w:id="195" w:name="Tc_ObGcxZMomk2CHeG01gLzOw_30_8"/>
      <w:bookmarkStart w:id="196" w:name="Tc_72S3j0s0K0-a-7PN1AnBXg_30_5"/>
      <w:bookmarkStart w:id="197" w:name="Tc_bnfmLZjOAEGZlfFAHPKzJg_30_2"/>
      <w:bookmarkStart w:id="198" w:name="Tc_eVzbbw8kvEaklffTWDyakg_30_0"/>
      <w:bookmarkStart w:id="199" w:name="Tc_lYmGpb6EuU6TIXq8Pjv-Hg_28_11"/>
      <w:bookmarkStart w:id="200" w:name="Tc_Norv00qCrUKdCnSu1hg21Q_28_8"/>
      <w:bookmarkStart w:id="201" w:name="Tc_x3U-J9y_uEeA3-L-VdDg2Q_28_5"/>
      <w:bookmarkStart w:id="202" w:name="Tc_t6AxYS2pkESQSKkw1c1tBg_28_2"/>
      <w:bookmarkStart w:id="203" w:name="Tc_sFSFk-bHIEeetS9Z_zT5DQ_28_0"/>
      <w:bookmarkStart w:id="204" w:name="Tc_wEIQbHhYOkSIwETGRTcwjw_26_0"/>
      <w:bookmarkStart w:id="205" w:name="Tc_paLuoMPu4kaxOns5iwh21Q_24_0"/>
      <w:bookmarkStart w:id="206" w:name="Tc_0CmQy6MAOE-4irkzIVvv-g_22_0"/>
      <w:bookmarkStart w:id="207" w:name="Tc_GnuForHHQECRV4tiEkjqKg_20_0"/>
      <w:bookmarkStart w:id="208" w:name="Tc_28remAUWeUOqDaXWqNOysA_19_0"/>
      <w:bookmarkStart w:id="209" w:name="Tc_I-rnx4mEBEqqFHdW4YaqqA_18_0"/>
      <w:bookmarkStart w:id="210" w:name="Tc_RUjpi6rm90OmpYjnSTPLOA_17_0"/>
      <w:bookmarkStart w:id="211" w:name="Tc_egYEdbGHXEuwXAkIGiYFoQ_16_0"/>
      <w:bookmarkStart w:id="212" w:name="Tc_zQb8lWqS2UClA3qnFbN1RA_15_0"/>
      <w:bookmarkStart w:id="213" w:name="Tc_zM_Tbg6fsE-g_VURYZ2uMw_14_0"/>
      <w:bookmarkStart w:id="214" w:name="Tc_UeoJAcvEUEGP_0cXE7E_8Q_13_0"/>
      <w:bookmarkStart w:id="215" w:name="Tc_ZQdF8urbGUe-tsG75jdR4g_12_0"/>
      <w:bookmarkStart w:id="216" w:name="Tc_m3mFz3SIQkOWS72tooy-sA_10_0"/>
      <w:bookmarkStart w:id="217" w:name="Tc_v13cH2wiA0G2eeC7fAv10g_8_0"/>
      <w:bookmarkStart w:id="218" w:name="Tc_-3uVrzncAkKc_Ho_LsrZXA_7_0"/>
      <w:bookmarkStart w:id="219" w:name="Tc_cDkfJsIYY0Sc0dwZIwxRMA_6_0"/>
      <w:bookmarkStart w:id="220" w:name="Tc_JfiP2ZNxFUez5aFRGZZFNg_5_11"/>
      <w:bookmarkStart w:id="221" w:name="Tc_Q4Dh8t4LEUO8OrUhY14Qjg_5_8"/>
      <w:bookmarkStart w:id="222" w:name="Tc_pcwxprizN0Oe0iihvKUYow_5_5"/>
      <w:bookmarkStart w:id="223" w:name="Tc_o5aRF1RAUUeCQkORYoP6Mw_5_2"/>
      <w:bookmarkStart w:id="224" w:name="Tc_90w5UYl3WUWnhZGDNI8r8w_5_0"/>
      <w:bookmarkStart w:id="225" w:name="Tc_ymLDhVH0ske8KMkdTyUGhA_4_0"/>
      <w:bookmarkStart w:id="226" w:name="Tc_PgfK7uit_UylYoh8lImm4Q_3_0"/>
      <w:bookmarkStart w:id="227" w:name="Tc_7ZKFoV4pbEWcEb6NBdkWQQ_2_11"/>
      <w:bookmarkStart w:id="228" w:name="Tc_Gu6FRxh_QkCLelRiKP7cGA_2_8"/>
      <w:bookmarkStart w:id="229" w:name="Tc_6RosxcM1PkGWkCXSy6q5mQ_2_5"/>
      <w:bookmarkStart w:id="230" w:name="Tc_hdRiFa0AE0q-yma-JCkn3g_2_2"/>
      <w:bookmarkStart w:id="231" w:name="Tc_iWEmhBzpvEic20a29E3Z8g_1_8"/>
      <w:bookmarkStart w:id="232" w:name="Tc_ce_1asU1tkqgv3pm6SpRwQ_1_2"/>
      <w:bookmarkStart w:id="233" w:name="_0aec8668_cbe0_48b8_a5be_c09b4809ce91"/>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tbl>
      <w:tblPr>
        <w:tblW w:w="9262" w:type="dxa"/>
        <w:jc w:val="left"/>
        <w:tblInd w:w="0" w:type="dxa"/>
        <w:tblLayout w:type="fixed"/>
        <w:tblCellMar>
          <w:top w:w="0" w:type="dxa"/>
          <w:left w:w="0" w:type="dxa"/>
          <w:bottom w:w="0" w:type="dxa"/>
          <w:right w:w="0" w:type="dxa"/>
        </w:tblCellMar>
      </w:tblPr>
      <w:tblGrid>
        <w:gridCol w:w="4036"/>
        <w:gridCol w:w="346"/>
        <w:gridCol w:w="230"/>
        <w:gridCol w:w="736"/>
        <w:gridCol w:w="377"/>
        <w:gridCol w:w="230"/>
        <w:gridCol w:w="736"/>
        <w:gridCol w:w="346"/>
        <w:gridCol w:w="211"/>
        <w:gridCol w:w="676"/>
        <w:gridCol w:w="346"/>
        <w:gridCol w:w="211"/>
        <w:gridCol w:w="78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562860" cy="175260"/>
                      <wp:effectExtent l="0" t="0" r="0" b="0"/>
                      <wp:wrapNone/>
                      <wp:docPr id="12" name="Frame1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6050" cy="175260"/>
                      <wp:effectExtent l="0" t="0" r="0" b="0"/>
                      <wp:wrapNone/>
                      <wp:docPr id="14" name="Frame1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67360" cy="175260"/>
                      <wp:effectExtent l="0" t="0" r="0" b="0"/>
                      <wp:wrapNone/>
                      <wp:docPr id="15" name="Frame1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39395" cy="175260"/>
                      <wp:effectExtent l="0" t="0" r="0" b="0"/>
                      <wp:wrapNone/>
                      <wp:docPr id="16" name="Frame16"/>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6050" cy="175260"/>
                      <wp:effectExtent l="0" t="0" r="0" b="0"/>
                      <wp:wrapNone/>
                      <wp:docPr id="17" name="Frame1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67360" cy="175260"/>
                      <wp:effectExtent l="0" t="0" r="0" b="0"/>
                      <wp:wrapNone/>
                      <wp:docPr id="18" name="Frame1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20" name="Frame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1"/>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from Contracts with Customers: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c>
          <w:tcPr>
            <w:tcW w:w="377"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38,060</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75,137</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7,354</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13,542</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45,414</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88,679</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46,516</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90,431</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36,656</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73,038</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4,715</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9,277</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2,480</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46,093</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89,537</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basic</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per share diluted </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16,813</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r>
      <w:tr>
        <w:trPr/>
        <w:tc>
          <w:tcPr>
            <w:tcW w:w="4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17,060</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16,602</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4" w:name="_067959fd_3656_42e2_a0a1_bce51a05a5b4"/>
      <w:bookmarkEnd w:id="234"/>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sz w:val="20"/>
        </w:rPr>
      </w:pPr>
      <w:bookmarkStart w:id="235" w:name="CondensedConsolidatedStatementsofCompreh"/>
      <w:bookmarkEnd w:id="235"/>
      <w:r>
        <w:rPr>
          <w:rFonts w:ascii="Times New Roman;Times;serif" w:hAnsi="Times New Roman;Times;serif"/>
          <w:b/>
          <w:sz w:val="20"/>
        </w:rPr>
        <w:t>CONDENSED CONSOLIDATED STATEMENTS OF COMPREHENSIVE INCOME</w:t>
      </w:r>
      <w:r>
        <w:rPr>
          <w:rFonts w:ascii="Times New Roman;Times;serif" w:hAnsi="Times New Roman;Times;serif"/>
          <w:sz w:val="20"/>
        </w:rPr>
        <w:t xml:space="preserve"> </w:t>
      </w:r>
      <w:r>
        <w:rPr>
          <w:rFonts w:ascii="Times New Roman;Times;serif" w:hAnsi="Times New Roman;Times;serif"/>
          <w:b/>
          <w:sz w:val="20"/>
        </w:rPr>
        <w:t>(LOSS)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6" w:name="Tc_YvgFTOBbl0aXXgjsThGQXA_7_11"/>
      <w:bookmarkStart w:id="237" w:name="Tc_jC9mBcNnbEWtL17XAcIJag_7_8"/>
      <w:bookmarkStart w:id="238" w:name="Tc_s2C0fwcDD0WKuYet-t9img_7_5"/>
      <w:bookmarkStart w:id="239" w:name="Tc_zfj372yrsUS97QD964J_VQ_7_2"/>
      <w:bookmarkStart w:id="240" w:name="Tc_Sozn3utFPkGJ3iFDFSxoHA_7_0"/>
      <w:bookmarkStart w:id="241" w:name="Tc_C9gEeRnwZUWF2lybpuk6SQ_6_11"/>
      <w:bookmarkStart w:id="242" w:name="Tc_GxmRcFFuFkWLmlSaaUIuJg_6_8"/>
      <w:bookmarkStart w:id="243" w:name="Tc_KRxJ_tZz7UCWRG0ijtTQ0A_6_5"/>
      <w:bookmarkStart w:id="244" w:name="Tc_ox933kxlCE-wX9iPVsV__A_6_2"/>
      <w:bookmarkStart w:id="245" w:name="Tc_qoV5dk4-mUGOrKrcd3RFqw_6_0"/>
      <w:bookmarkStart w:id="246" w:name="Tc_tKyLHHUEk0OTjD5JDhc5qQ_5_0"/>
      <w:bookmarkStart w:id="247" w:name="Tc_eyIwAj61ZUWeOqxkDUkrnQ_4_0"/>
      <w:bookmarkStart w:id="248" w:name="Tc_TzsaTMp7XUa39e4BkG146Q_3_11"/>
      <w:bookmarkStart w:id="249" w:name="Tc_ifsj9hHE5UCIRU224qzmwQ_3_8"/>
      <w:bookmarkStart w:id="250" w:name="Tc_YQdFidzJU0mIyRr95BcKOg_3_5"/>
      <w:bookmarkStart w:id="251" w:name="Tc_3s7ROCSdC0unBNol9xZ7HQ_3_2"/>
      <w:bookmarkStart w:id="252" w:name="Tc_ksOVtPI0BEyy-HKRgfOM1w_3_0"/>
      <w:bookmarkStart w:id="253" w:name="Tc_gxbzWHsyFEKUOKYWpPZFOA_2_11"/>
      <w:bookmarkStart w:id="254" w:name="Tc_gXM30f4y4UuzsLcHqym2Kw_2_8"/>
      <w:bookmarkStart w:id="255" w:name="Tc_7VrTgkI7qE-igyX8ba4SMw_2_5"/>
      <w:bookmarkStart w:id="256" w:name="Tc_AmB0-ghqCU697xiCPDEPbA_2_2"/>
      <w:bookmarkStart w:id="257" w:name="Tc_XpW-50AgtUKg7jQGkIgZGw_1_8"/>
      <w:bookmarkStart w:id="258" w:name="Tc_9gfQ42XrakmHDbeiWqEH9w_1_2"/>
      <w:bookmarkStart w:id="259" w:name="_8ee834d5_790a_4098_90ae_49d88a249b58"/>
      <w:bookmarkStart w:id="260" w:name="Tc_YvgFTOBbl0aXXgjsThGQXA_7_11"/>
      <w:bookmarkStart w:id="261" w:name="Tc_jC9mBcNnbEWtL17XAcIJag_7_8"/>
      <w:bookmarkStart w:id="262" w:name="Tc_s2C0fwcDD0WKuYet-t9img_7_5"/>
      <w:bookmarkStart w:id="263" w:name="Tc_zfj372yrsUS97QD964J_VQ_7_2"/>
      <w:bookmarkStart w:id="264" w:name="Tc_Sozn3utFPkGJ3iFDFSxoHA_7_0"/>
      <w:bookmarkStart w:id="265" w:name="Tc_C9gEeRnwZUWF2lybpuk6SQ_6_11"/>
      <w:bookmarkStart w:id="266" w:name="Tc_GxmRcFFuFkWLmlSaaUIuJg_6_8"/>
      <w:bookmarkStart w:id="267" w:name="Tc_KRxJ_tZz7UCWRG0ijtTQ0A_6_5"/>
      <w:bookmarkStart w:id="268" w:name="Tc_ox933kxlCE-wX9iPVsV__A_6_2"/>
      <w:bookmarkStart w:id="269" w:name="Tc_qoV5dk4-mUGOrKrcd3RFqw_6_0"/>
      <w:bookmarkStart w:id="270" w:name="Tc_tKyLHHUEk0OTjD5JDhc5qQ_5_0"/>
      <w:bookmarkStart w:id="271" w:name="Tc_eyIwAj61ZUWeOqxkDUkrnQ_4_0"/>
      <w:bookmarkStart w:id="272" w:name="Tc_TzsaTMp7XUa39e4BkG146Q_3_11"/>
      <w:bookmarkStart w:id="273" w:name="Tc_ifsj9hHE5UCIRU224qzmwQ_3_8"/>
      <w:bookmarkStart w:id="274" w:name="Tc_YQdFidzJU0mIyRr95BcKOg_3_5"/>
      <w:bookmarkStart w:id="275" w:name="Tc_3s7ROCSdC0unBNol9xZ7HQ_3_2"/>
      <w:bookmarkStart w:id="276" w:name="Tc_ksOVtPI0BEyy-HKRgfOM1w_3_0"/>
      <w:bookmarkStart w:id="277" w:name="Tc_gxbzWHsyFEKUOKYWpPZFOA_2_11"/>
      <w:bookmarkStart w:id="278" w:name="Tc_gXM30f4y4UuzsLcHqym2Kw_2_8"/>
      <w:bookmarkStart w:id="279" w:name="Tc_7VrTgkI7qE-igyX8ba4SMw_2_5"/>
      <w:bookmarkStart w:id="280" w:name="Tc_AmB0-ghqCU697xiCPDEPbA_2_2"/>
      <w:bookmarkStart w:id="281" w:name="Tc_XpW-50AgtUKg7jQGkIgZGw_1_8"/>
      <w:bookmarkStart w:id="282" w:name="Tc_9gfQ42XrakmHDbeiWqEH9w_1_2"/>
      <w:bookmarkStart w:id="283" w:name="_8ee834d5_790a_4098_90ae_49d88a249b58"/>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tbl>
      <w:tblPr>
        <w:tblW w:w="8654" w:type="dxa"/>
        <w:jc w:val="left"/>
        <w:tblInd w:w="0" w:type="dxa"/>
        <w:tblLayout w:type="fixed"/>
        <w:tblCellMar>
          <w:top w:w="0" w:type="dxa"/>
          <w:left w:w="0" w:type="dxa"/>
          <w:bottom w:w="0" w:type="dxa"/>
          <w:right w:w="0" w:type="dxa"/>
        </w:tblCellMar>
      </w:tblPr>
      <w:tblGrid>
        <w:gridCol w:w="3496"/>
        <w:gridCol w:w="346"/>
        <w:gridCol w:w="281"/>
        <w:gridCol w:w="562"/>
        <w:gridCol w:w="462"/>
        <w:gridCol w:w="281"/>
        <w:gridCol w:w="722"/>
        <w:gridCol w:w="346"/>
        <w:gridCol w:w="236"/>
        <w:gridCol w:w="641"/>
        <w:gridCol w:w="388"/>
        <w:gridCol w:w="236"/>
        <w:gridCol w:w="657"/>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19960" cy="175260"/>
                      <wp:effectExtent l="0" t="0" r="0" b="0"/>
                      <wp:wrapNone/>
                      <wp:docPr id="23" name="Frame2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78435" cy="175260"/>
                      <wp:effectExtent l="0" t="0" r="0" b="0"/>
                      <wp:wrapNone/>
                      <wp:docPr id="25" name="Frame2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56870" cy="175260"/>
                      <wp:effectExtent l="0" t="0" r="0" b="0"/>
                      <wp:wrapNone/>
                      <wp:docPr id="26" name="Frame26"/>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93370" cy="175260"/>
                      <wp:effectExtent l="0" t="0" r="0" b="0"/>
                      <wp:wrapNone/>
                      <wp:docPr id="27" name="Frame2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8435" cy="175260"/>
                      <wp:effectExtent l="0" t="0" r="0" b="0"/>
                      <wp:wrapNone/>
                      <wp:docPr id="28" name="Frame2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58470" cy="175260"/>
                      <wp:effectExtent l="0" t="0" r="0" b="0"/>
                      <wp:wrapNone/>
                      <wp:docPr id="29" name="Frame29"/>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9860" cy="175260"/>
                      <wp:effectExtent l="0" t="0" r="0" b="0"/>
                      <wp:wrapNone/>
                      <wp:docPr id="31" name="Frame3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7035" cy="175260"/>
                      <wp:effectExtent l="0" t="0" r="0" b="0"/>
                      <wp:wrapNone/>
                      <wp:docPr id="32" name="Frame32"/>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46380" cy="175260"/>
                      <wp:effectExtent l="0" t="0" r="0" b="0"/>
                      <wp:wrapNone/>
                      <wp:docPr id="33" name="Frame3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9860" cy="175260"/>
                      <wp:effectExtent l="0" t="0" r="0" b="0"/>
                      <wp:wrapNone/>
                      <wp:docPr id="34" name="Frame3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7195" cy="175260"/>
                      <wp:effectExtent l="0" t="0" r="0" b="0"/>
                      <wp:wrapNone/>
                      <wp:docPr id="35" name="Frame3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center"/>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8" w:type="dxa"/>
            <w:tcBorders/>
            <w:vAlign w:val="center"/>
          </w:tcPr>
          <w:p>
            <w:pPr>
              <w:pStyle w:val="TableContents"/>
              <w:bidi w:val="0"/>
              <w:spacing w:before="0" w:after="0"/>
              <w:ind w:left="0" w:right="0" w:hanging="0"/>
              <w:jc w:val="center"/>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88"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Comprehensive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4" w:name="_ed4c0903_1cf6_4536_bf82_7b08e8cd6e02"/>
      <w:bookmarkEnd w:id="284"/>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285" w:name="STOCKHOLDERSEQUITY_558661"/>
      <w:bookmarkEnd w:id="285"/>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86" w:name="Tc__o73rC6U_EaO5Gxr00qXAg_25_26"/>
      <w:bookmarkStart w:id="287" w:name="Tc_PhyeNiSUNEGWggoBGtL0Mw_25_23"/>
      <w:bookmarkStart w:id="288" w:name="Tc_A6xNZ9zAbUy7X5iNtTCeHQ_25_20"/>
      <w:bookmarkStart w:id="289" w:name="Tc_QboVZ_1Gd0un-x7HycKtVg_25_17"/>
      <w:bookmarkStart w:id="290" w:name="Tc_B1jWmq6jd0ufNjfcZ6xkzg_25_15"/>
      <w:bookmarkStart w:id="291" w:name="Tc_QUUFTdZsP0Oz0RU209kTyg_25_14"/>
      <w:bookmarkStart w:id="292" w:name="Tc_jtYLAVqjlUOicuEhVFYFrA_25_9"/>
      <w:bookmarkStart w:id="293" w:name="Tc_dHBxVsEQbE-fxJdLtzLTMw_25_4"/>
      <w:bookmarkStart w:id="294" w:name="Tc_5bRnLYkyaUmxM-nNISi-uw_25_0"/>
      <w:bookmarkStart w:id="295" w:name="Tc_Ddt3tOXdKUqBasZ4aV0CKw_24_24"/>
      <w:bookmarkStart w:id="296" w:name="Tc_jfCDAwHtnUyeUP0un1o72w_24_18"/>
      <w:bookmarkStart w:id="297" w:name="Tc_dmTOY8i-v0i6Euh8vwkipA_24_15"/>
      <w:bookmarkStart w:id="298" w:name="Tc_6TUddfJz-EuCucGS9TT8MQ_24_12"/>
      <w:bookmarkStart w:id="299" w:name="Tc_3BC3htDGrkmzr2cWbjDVlQ_24_10"/>
      <w:bookmarkStart w:id="300" w:name="Tc_8nh2khnRs0u7usR9_dbrGg_24_7"/>
      <w:bookmarkStart w:id="301" w:name="Tc_UTLLVTHkBUyS1gJ4uGZtyg_24_5"/>
      <w:bookmarkStart w:id="302" w:name="Tc_zkrzFe2a-0qG0R1chIDeDQ_24_2"/>
      <w:bookmarkStart w:id="303" w:name="Tc_nFDJ5lnmskCQiRBsrMTfwA_24_0"/>
      <w:bookmarkStart w:id="304" w:name="Tc_bwmTNtQhX02VqFFXYHpywg_23_21"/>
      <w:bookmarkStart w:id="305" w:name="Tc_-NfUVibhIEeFOzH-EFAsXg_23_18"/>
      <w:bookmarkStart w:id="306" w:name="Tc_Pm7ODLOqvUGuBP7JFotA9Q_23_15"/>
      <w:bookmarkStart w:id="307" w:name="Tc_LV9B__VBOEGJw0LvN7rZbg_23_12"/>
      <w:bookmarkStart w:id="308" w:name="Tc_ByKENkSi5ka2hOW5sot8GQ_23_10"/>
      <w:bookmarkStart w:id="309" w:name="Tc_H7-25nqFQkaTRRsxZs0PSw_23_7"/>
      <w:bookmarkStart w:id="310" w:name="Tc_lFZgFMRjfU2S8mc2HWH6rw_23_5"/>
      <w:bookmarkStart w:id="311" w:name="Tc_-xJjp5w3s0OJvIkahwgpNA_23_2"/>
      <w:bookmarkStart w:id="312" w:name="Tc_4EwTeNqmr0iuc486S22EoQ_23_0"/>
      <w:bookmarkStart w:id="313" w:name="Tc_SbfGgaVmDk6Zdyt-25Is7Q_22_27"/>
      <w:bookmarkStart w:id="314" w:name="Tc_Z-8wE2eSME-Jd9zHXC9wOA_22_24"/>
      <w:bookmarkStart w:id="315" w:name="Tc_bYLh6oUaGkq3GRE6D_WWJA_22_21"/>
      <w:bookmarkStart w:id="316" w:name="Tc_TzCZ5zG_NkCCoKeLTYNMkg_22_18"/>
      <w:bookmarkStart w:id="317" w:name="Tc_qAJh4mk4MEO6I0vYi0mDtw_22_15"/>
      <w:bookmarkStart w:id="318" w:name="Tc_1rb-EeF-kkCvA0FOqVHNVw_22_10"/>
      <w:bookmarkStart w:id="319" w:name="Tc_eHB9W6gu90-dHc20gaUBXQ_22_7"/>
      <w:bookmarkStart w:id="320" w:name="Tc_xpT9NtPcsUak_3f2D-xc5g_22_5"/>
      <w:bookmarkStart w:id="321" w:name="Tc_yamfO132MEqiqpe3afnZtQ_22_2"/>
      <w:bookmarkStart w:id="322" w:name="Tc_Zr4NJE3TQEm6NkGnMLrXuw_22_0"/>
      <w:bookmarkStart w:id="323" w:name="Tc_EDU6lOOPZEOWzw8sEUvOaQ_21_24"/>
      <w:bookmarkStart w:id="324" w:name="Tc_CD6FiagPL0GN1OSfiQ13fg_21_21"/>
      <w:bookmarkStart w:id="325" w:name="Tc_Qq2zBjJ7-02sYH9erkK7jQ_21_15"/>
      <w:bookmarkStart w:id="326" w:name="Tc_L-sca2tfnE-m7HmpcqHn3w_21_12"/>
      <w:bookmarkStart w:id="327" w:name="Tc_TUa6pmffAUil7WnXDcionw_21_10"/>
      <w:bookmarkStart w:id="328" w:name="Tc_S8GiVFynO0KSl3d7W9ZOhg_21_7"/>
      <w:bookmarkStart w:id="329" w:name="Tc_mZY8reqHU0qknp3l4HIprg_21_5"/>
      <w:bookmarkStart w:id="330" w:name="Tc_d4ALihUCF0muB_paD2_qdw_21_2"/>
      <w:bookmarkStart w:id="331" w:name="Tc__T21sSAO40yg_KZFpQ3HiQ_21_0"/>
      <w:bookmarkStart w:id="332" w:name="Tc_7Larv9FgbkuMED-M8GoSZA_20_24"/>
      <w:bookmarkStart w:id="333" w:name="Tc_PhNNX2mYMEWnJGrgBhqNoA_20_21"/>
      <w:bookmarkStart w:id="334" w:name="Tc_cvYG_KEjj0KhjpWGqyf4wQ_20_15"/>
      <w:bookmarkStart w:id="335" w:name="Tc_i9QqiIAqQ0al6g0edg4UNg_20_12"/>
      <w:bookmarkStart w:id="336" w:name="Tc_iluRkVKzz0ejPPwX5OboMA_20_10"/>
      <w:bookmarkStart w:id="337" w:name="Tc_SPDacnlDX0uOAu8Ka3B10A_20_7"/>
      <w:bookmarkStart w:id="338" w:name="Tc_ollm3C27t0u-LiwJir95UA_20_5"/>
      <w:bookmarkStart w:id="339" w:name="Tc_T1Qlgb3BeUeRND7PfXmDSg_20_2"/>
      <w:bookmarkStart w:id="340" w:name="Tc_eiCxDLo6LUi7G6f3ayIICQ_20_0"/>
      <w:bookmarkStart w:id="341" w:name="Tc_jL5eXGK_qkyFNXxvRzH0Eg_19_24"/>
      <w:bookmarkStart w:id="342" w:name="Tc_D7yv_7DKNk2SZT6CorFvYA_19_21"/>
      <w:bookmarkStart w:id="343" w:name="Tc_RGuKmzSbMESMe0TueRF6Pg_19_15"/>
      <w:bookmarkStart w:id="344" w:name="Tc_iSuO7zTaBkGkZ67wliLe4Q_19_12"/>
      <w:bookmarkStart w:id="345" w:name="Tc_FyTboYkkfEe48CDq5HzGkg_19_10"/>
      <w:bookmarkStart w:id="346" w:name="Tc_rB7xNh4-2UqNIK8Zyu6eyQ_19_7"/>
      <w:bookmarkStart w:id="347" w:name="Tc_AnYngZbj4U-A-8zY2pHt-Q_19_5"/>
      <w:bookmarkStart w:id="348" w:name="Tc_YbGE_O3x60SZVIk2z232-A_19_2"/>
      <w:bookmarkStart w:id="349" w:name="Tc_fKlihsKA80GIVTKjvGUCJg_19_0"/>
      <w:bookmarkStart w:id="350" w:name="Tc_5JT1famIV02vEIrcriXFFw_18_24"/>
      <w:bookmarkStart w:id="351" w:name="Tc_9-TGOflZU0CqUd3IW5fFvA_18_21"/>
      <w:bookmarkStart w:id="352" w:name="Tc_9Ei5Cedl2UqkTRERntwPIQ_18_18"/>
      <w:bookmarkStart w:id="353" w:name="Tc_uavyKIwsMEi1G2gYhFcBgw_18_15"/>
      <w:bookmarkStart w:id="354" w:name="Tc_gOi_PQ8o8kaLaiwDVo-Qjw_18_12"/>
      <w:bookmarkStart w:id="355" w:name="Tc_p3btaSxjNUuVk9oqyiHBbw_18_10"/>
      <w:bookmarkStart w:id="356" w:name="Tc_DqsUeIUj3k2Clo1HwzTyUw_18_7"/>
      <w:bookmarkStart w:id="357" w:name="Tc_ESdCUyCurkOSNyT9aNhmpA_18_0"/>
      <w:bookmarkStart w:id="358" w:name="Tc_7aWI8cW0zUehCDXwEh5u-A_17_15"/>
      <w:bookmarkStart w:id="359" w:name="Tc__gQ_lSX1y0GQgzZIKwM4iA_17_0"/>
      <w:bookmarkStart w:id="360" w:name="Tc_kU6U5X8ftkiPnAbg1UyBSw_16_24"/>
      <w:bookmarkStart w:id="361" w:name="Tc_0BbwSWCFRE-6EQfxMxLxvQ_16_18"/>
      <w:bookmarkStart w:id="362" w:name="Tc_vB5IP_5ggUCtHbPYoLx3uA_16_15"/>
      <w:bookmarkStart w:id="363" w:name="Tc_ZroJjMXsV0Oq4D-UF08Ctw_16_12"/>
      <w:bookmarkStart w:id="364" w:name="Tc_CUYVosaRX0iO-KDNn78Vlg_16_10"/>
      <w:bookmarkStart w:id="365" w:name="Tc_CJQ3ixvZj0OPqi3Vppgcrg_16_7"/>
      <w:bookmarkStart w:id="366" w:name="Tc_H_2Dkla5kkq33wADw04ftQ_16_5"/>
      <w:bookmarkStart w:id="367" w:name="Tc_Polv8rx78EaNp1c4rQEl5g_16_2"/>
      <w:bookmarkStart w:id="368" w:name="Tc_cwQlSadHCEiOPA4BXRgdVg_16_0"/>
      <w:bookmarkStart w:id="369" w:name="Tc_6l9L6ttX20yky7hZnQY3NA_15_21"/>
      <w:bookmarkStart w:id="370" w:name="Tc_Eluqg7VFkEmFCqz_ErhF9w_15_18"/>
      <w:bookmarkStart w:id="371" w:name="Tc_wVOX82H4i0GpgTtdHx36fg_15_15"/>
      <w:bookmarkStart w:id="372" w:name="Tc_2TENYRx_QU60i220FfrEyw_15_12"/>
      <w:bookmarkStart w:id="373" w:name="Tc_X4V0UhlJNUOh5rZLbgrm7Q_15_10"/>
      <w:bookmarkStart w:id="374" w:name="Tc_cXsc_ByXwU6rwFz4mAkj_w_15_7"/>
      <w:bookmarkStart w:id="375" w:name="Tc_5sQfqcubCk6pXd0hl_XpCA_15_5"/>
      <w:bookmarkStart w:id="376" w:name="Tc_233qeu1Vp0-MQM3JbSrf0A_15_2"/>
      <w:bookmarkStart w:id="377" w:name="Tc_cDx1w_Xo50C6CB_JN52N8w_15_0"/>
      <w:bookmarkStart w:id="378" w:name="Tc_G9aq3gEc5USfJvtodyARXg_14_24"/>
      <w:bookmarkStart w:id="379" w:name="Tc_OohrIoq7xkyY4pJUyhpeGQ_14_21"/>
      <w:bookmarkStart w:id="380" w:name="Tc_RHNOYfmzBkulrjDEPFhCbA_14_15"/>
      <w:bookmarkStart w:id="381" w:name="Tc_3WrDKU07aECZYggir7dUyg_14_10"/>
      <w:bookmarkStart w:id="382" w:name="Tc_TB8ePQhWn0e-pVA4DlwvCA_14_7"/>
      <w:bookmarkStart w:id="383" w:name="Tc_YdAQ_wCEpU2HLpC0z3sS-Q_14_5"/>
      <w:bookmarkStart w:id="384" w:name="Tc_BxauW9w5XESgLsHPhBXCDg_14_2"/>
      <w:bookmarkStart w:id="385" w:name="Tc_kR5mukr-LkaByg0t3F_x1A_14_0"/>
      <w:bookmarkStart w:id="386" w:name="Tc_omI1mRYDdkqRtz-hQCl4tQ_13_24"/>
      <w:bookmarkStart w:id="387" w:name="Tc_51GiTdwLIE-3UIm28t1Bww_13_21"/>
      <w:bookmarkStart w:id="388" w:name="Tc_8-Up5G7wE06yynzAb1aoIQ_13_15"/>
      <w:bookmarkStart w:id="389" w:name="Tc_23Y3tpBrY0a6GAAY-2iicQ_13_12"/>
      <w:bookmarkStart w:id="390" w:name="Tc_ZkaqiLxQZ0qjoXA9nr3EBQ_13_10"/>
      <w:bookmarkStart w:id="391" w:name="Tc_tL3q6nNtQE-qtOmvocliMw_13_7"/>
      <w:bookmarkStart w:id="392" w:name="Tc_cgnmyYyMRkWfiT45UqKDsQ_13_5"/>
      <w:bookmarkStart w:id="393" w:name="Tc_gPKdyMeKKEqGhMktoZUopw_13_2"/>
      <w:bookmarkStart w:id="394" w:name="Tc_okL9esZy8UeD_7G00pXP-A_13_0"/>
      <w:bookmarkStart w:id="395" w:name="Tc_Y_OmxD8IX0CapevTJpftmQ_12_24"/>
      <w:bookmarkStart w:id="396" w:name="Tc_deV3eOicXEi0vHgpsxulIQ_12_21"/>
      <w:bookmarkStart w:id="397" w:name="Tc_wUenaUIAKkW-2QI52a_P8g_12_15"/>
      <w:bookmarkStart w:id="398" w:name="Tc_5bfg89l-u0ywXGRVbPN3TA_12_12"/>
      <w:bookmarkStart w:id="399" w:name="Tc_acSFLk07F0iWAq5tEUTS_A_12_10"/>
      <w:bookmarkStart w:id="400" w:name="Tc_JxOY4hvpxkiUZwc7N7Adyw_12_7"/>
      <w:bookmarkStart w:id="401" w:name="Tc_7BMeeBACtkCx7GL8VoqJbQ_12_5"/>
      <w:bookmarkStart w:id="402" w:name="Tc_TX65TVpASEGwWHK6i8T4ug_12_2"/>
      <w:bookmarkStart w:id="403" w:name="Tc_whs-IjrE3UeVvH0YSWS98g_12_0"/>
      <w:bookmarkStart w:id="404" w:name="Tc_jhgdYMiRIEq6sQBeWZYf0g_11_24"/>
      <w:bookmarkStart w:id="405" w:name="Tc_hVOCdW7beEKBzVMJUBsyMw_11_21"/>
      <w:bookmarkStart w:id="406" w:name="Tc_THcMXAAZSEORhPHSvWcobQ_11_18"/>
      <w:bookmarkStart w:id="407" w:name="Tc_UN0e4Wy6ykWAcLXvLE3dfA_11_15"/>
      <w:bookmarkStart w:id="408" w:name="Tc_5O7lp4Rp4EWjuLpcaAMmYQ_11_12"/>
      <w:bookmarkStart w:id="409" w:name="Tc_ecRTzQfSRUOuSbleil5y8A_11_10"/>
      <w:bookmarkStart w:id="410" w:name="Tc_nRhwn1IJlUO0918izbk-ig_11_7"/>
      <w:bookmarkStart w:id="411" w:name="Tc_d8Lx7Dl6WkanukSkCTBAVg_11_0"/>
      <w:bookmarkStart w:id="412" w:name="Tc_Ab5qesFRWk-iSldFpUJ6DA_10_26"/>
      <w:bookmarkStart w:id="413" w:name="Tc_r8igeAk20kKWh4Y2a8ygYA_10_20"/>
      <w:bookmarkStart w:id="414" w:name="Tc_QLpNi7CYPk67FrOj1eFvhA_10_17"/>
      <w:bookmarkStart w:id="415" w:name="Tc_gZA_pQwqw0-bWxDNev4YeA_10_15"/>
      <w:bookmarkStart w:id="416" w:name="Tc_cI05RuZUIkyyv8ZvZC3thg_10_9"/>
      <w:bookmarkStart w:id="417" w:name="Tc_mScbdgDhQUym8BzUjfDkkQ_10_4"/>
      <w:bookmarkStart w:id="418" w:name="Tc_SN5JTolhKkqsB9FMbzpD4A_10_0"/>
      <w:bookmarkStart w:id="419" w:name="Tc_cvultG8ENUiQC0sV94HzUg_8_26"/>
      <w:bookmarkStart w:id="420" w:name="Tc_USp6SbVLgUKsBQsRTih7jw_8_23"/>
      <w:bookmarkStart w:id="421" w:name="Tc_kV6zUEMz10WvAcHZ9rANSQ_8_20"/>
      <w:bookmarkStart w:id="422" w:name="Tc_3wKZ0qpW206SUglavw1eKQ_8_17"/>
      <w:bookmarkStart w:id="423" w:name="Tc_IbDU5FyAlEu9TEzeaTQ5EA_8_14"/>
      <w:bookmarkStart w:id="424" w:name="Tc_LJ_PYaihkUmMSirD8rfFVA_8_12"/>
      <w:bookmarkStart w:id="425" w:name="Tc_8cSApkHzAEq0exPVNK6b6Q_8_9"/>
      <w:bookmarkStart w:id="426" w:name="Tc_O0izYBOFk0iYl5wayO8D4w_8_7"/>
      <w:bookmarkStart w:id="427" w:name="Tc_naw87lJuWkGaVMXJce5RGA_8_4"/>
      <w:bookmarkStart w:id="428" w:name="Tc_ifSyqurX1kC3Zbb03HPngw_8_2"/>
      <w:bookmarkStart w:id="429" w:name="Tc_OEr7ZqA4XUunYABlevvPrA_7_26"/>
      <w:bookmarkStart w:id="430" w:name="Tc_QPq2SApTz0CoyQ3gj1mp5g_7_23"/>
      <w:bookmarkStart w:id="431" w:name="Tc_YhAHRAzsbk-mQJsaTYyHjQ_7_20"/>
      <w:bookmarkStart w:id="432" w:name="Tc_Mqa5nHbiDkeOcVylABqM6Q_7_17"/>
      <w:bookmarkStart w:id="433" w:name="Tc_pXTfCTwyrUqkzc00OXzDqw_6_26"/>
      <w:bookmarkStart w:id="434" w:name="Tc_Tz5-Zq7FUkew7QghZFRuIQ_6_23"/>
      <w:bookmarkStart w:id="435" w:name="Tc_RBeegRX5AkGXmB2YB1eTfA_6_17"/>
      <w:bookmarkStart w:id="436" w:name="Tc_fUwtDSaUgkuY42kRhDLBXg_5_26"/>
      <w:bookmarkStart w:id="437" w:name="Tc_toymXKzTxEqdTH7a_TIlnQ_5_23"/>
      <w:bookmarkStart w:id="438" w:name="Tc_kL9BX5GGkEmXvUircZEYfw_4_26"/>
      <w:bookmarkStart w:id="439" w:name="Tc_gqwrxm-RM0-XXlW-mnsyJA_3_12"/>
      <w:bookmarkStart w:id="440" w:name="Tc_gBBPcBOpRUyzovnGTZNBGQ_3_7"/>
      <w:bookmarkStart w:id="441" w:name="Tc_hrI7KlH22Ee8iBp9Y5Sfug_3_2"/>
      <w:bookmarkStart w:id="442" w:name="Tc_1eAOoVLmiE-5VtHt_FBJOQ_2_7"/>
      <w:bookmarkStart w:id="443" w:name="Tc_DTnNnLsoqEeZ38oDGAzpEA_2_2"/>
      <w:bookmarkStart w:id="444" w:name="Tc_69suxR54HE-lTqTrIF-3ew_1_2"/>
      <w:bookmarkStart w:id="445" w:name="_3626856e_533e_4dc3_9868_fdc4069c07ef"/>
      <w:bookmarkStart w:id="446" w:name="Tc__o73rC6U_EaO5Gxr00qXAg_25_26"/>
      <w:bookmarkStart w:id="447" w:name="Tc_PhyeNiSUNEGWggoBGtL0Mw_25_23"/>
      <w:bookmarkStart w:id="448" w:name="Tc_A6xNZ9zAbUy7X5iNtTCeHQ_25_20"/>
      <w:bookmarkStart w:id="449" w:name="Tc_QboVZ_1Gd0un-x7HycKtVg_25_17"/>
      <w:bookmarkStart w:id="450" w:name="Tc_B1jWmq6jd0ufNjfcZ6xkzg_25_15"/>
      <w:bookmarkStart w:id="451" w:name="Tc_QUUFTdZsP0Oz0RU209kTyg_25_14"/>
      <w:bookmarkStart w:id="452" w:name="Tc_jtYLAVqjlUOicuEhVFYFrA_25_9"/>
      <w:bookmarkStart w:id="453" w:name="Tc_dHBxVsEQbE-fxJdLtzLTMw_25_4"/>
      <w:bookmarkStart w:id="454" w:name="Tc_5bRnLYkyaUmxM-nNISi-uw_25_0"/>
      <w:bookmarkStart w:id="455" w:name="Tc_Ddt3tOXdKUqBasZ4aV0CKw_24_24"/>
      <w:bookmarkStart w:id="456" w:name="Tc_jfCDAwHtnUyeUP0un1o72w_24_18"/>
      <w:bookmarkStart w:id="457" w:name="Tc_dmTOY8i-v0i6Euh8vwkipA_24_15"/>
      <w:bookmarkStart w:id="458" w:name="Tc_6TUddfJz-EuCucGS9TT8MQ_24_12"/>
      <w:bookmarkStart w:id="459" w:name="Tc_3BC3htDGrkmzr2cWbjDVlQ_24_10"/>
      <w:bookmarkStart w:id="460" w:name="Tc_8nh2khnRs0u7usR9_dbrGg_24_7"/>
      <w:bookmarkStart w:id="461" w:name="Tc_UTLLVTHkBUyS1gJ4uGZtyg_24_5"/>
      <w:bookmarkStart w:id="462" w:name="Tc_zkrzFe2a-0qG0R1chIDeDQ_24_2"/>
      <w:bookmarkStart w:id="463" w:name="Tc_nFDJ5lnmskCQiRBsrMTfwA_24_0"/>
      <w:bookmarkStart w:id="464" w:name="Tc_bwmTNtQhX02VqFFXYHpywg_23_21"/>
      <w:bookmarkStart w:id="465" w:name="Tc_-NfUVibhIEeFOzH-EFAsXg_23_18"/>
      <w:bookmarkStart w:id="466" w:name="Tc_Pm7ODLOqvUGuBP7JFotA9Q_23_15"/>
      <w:bookmarkStart w:id="467" w:name="Tc_LV9B__VBOEGJw0LvN7rZbg_23_12"/>
      <w:bookmarkStart w:id="468" w:name="Tc_ByKENkSi5ka2hOW5sot8GQ_23_10"/>
      <w:bookmarkStart w:id="469" w:name="Tc_H7-25nqFQkaTRRsxZs0PSw_23_7"/>
      <w:bookmarkStart w:id="470" w:name="Tc_lFZgFMRjfU2S8mc2HWH6rw_23_5"/>
      <w:bookmarkStart w:id="471" w:name="Tc_-xJjp5w3s0OJvIkahwgpNA_23_2"/>
      <w:bookmarkStart w:id="472" w:name="Tc_4EwTeNqmr0iuc486S22EoQ_23_0"/>
      <w:bookmarkStart w:id="473" w:name="Tc_SbfGgaVmDk6Zdyt-25Is7Q_22_27"/>
      <w:bookmarkStart w:id="474" w:name="Tc_Z-8wE2eSME-Jd9zHXC9wOA_22_24"/>
      <w:bookmarkStart w:id="475" w:name="Tc_bYLh6oUaGkq3GRE6D_WWJA_22_21"/>
      <w:bookmarkStart w:id="476" w:name="Tc_TzCZ5zG_NkCCoKeLTYNMkg_22_18"/>
      <w:bookmarkStart w:id="477" w:name="Tc_qAJh4mk4MEO6I0vYi0mDtw_22_15"/>
      <w:bookmarkStart w:id="478" w:name="Tc_1rb-EeF-kkCvA0FOqVHNVw_22_10"/>
      <w:bookmarkStart w:id="479" w:name="Tc_eHB9W6gu90-dHc20gaUBXQ_22_7"/>
      <w:bookmarkStart w:id="480" w:name="Tc_xpT9NtPcsUak_3f2D-xc5g_22_5"/>
      <w:bookmarkStart w:id="481" w:name="Tc_yamfO132MEqiqpe3afnZtQ_22_2"/>
      <w:bookmarkStart w:id="482" w:name="Tc_Zr4NJE3TQEm6NkGnMLrXuw_22_0"/>
      <w:bookmarkStart w:id="483" w:name="Tc_EDU6lOOPZEOWzw8sEUvOaQ_21_24"/>
      <w:bookmarkStart w:id="484" w:name="Tc_CD6FiagPL0GN1OSfiQ13fg_21_21"/>
      <w:bookmarkStart w:id="485" w:name="Tc_Qq2zBjJ7-02sYH9erkK7jQ_21_15"/>
      <w:bookmarkStart w:id="486" w:name="Tc_L-sca2tfnE-m7HmpcqHn3w_21_12"/>
      <w:bookmarkStart w:id="487" w:name="Tc_TUa6pmffAUil7WnXDcionw_21_10"/>
      <w:bookmarkStart w:id="488" w:name="Tc_S8GiVFynO0KSl3d7W9ZOhg_21_7"/>
      <w:bookmarkStart w:id="489" w:name="Tc_mZY8reqHU0qknp3l4HIprg_21_5"/>
      <w:bookmarkStart w:id="490" w:name="Tc_d4ALihUCF0muB_paD2_qdw_21_2"/>
      <w:bookmarkStart w:id="491" w:name="Tc__T21sSAO40yg_KZFpQ3HiQ_21_0"/>
      <w:bookmarkStart w:id="492" w:name="Tc_7Larv9FgbkuMED-M8GoSZA_20_24"/>
      <w:bookmarkStart w:id="493" w:name="Tc_PhNNX2mYMEWnJGrgBhqNoA_20_21"/>
      <w:bookmarkStart w:id="494" w:name="Tc_cvYG_KEjj0KhjpWGqyf4wQ_20_15"/>
      <w:bookmarkStart w:id="495" w:name="Tc_i9QqiIAqQ0al6g0edg4UNg_20_12"/>
      <w:bookmarkStart w:id="496" w:name="Tc_iluRkVKzz0ejPPwX5OboMA_20_10"/>
      <w:bookmarkStart w:id="497" w:name="Tc_SPDacnlDX0uOAu8Ka3B10A_20_7"/>
      <w:bookmarkStart w:id="498" w:name="Tc_ollm3C27t0u-LiwJir95UA_20_5"/>
      <w:bookmarkStart w:id="499" w:name="Tc_T1Qlgb3BeUeRND7PfXmDSg_20_2"/>
      <w:bookmarkStart w:id="500" w:name="Tc_eiCxDLo6LUi7G6f3ayIICQ_20_0"/>
      <w:bookmarkStart w:id="501" w:name="Tc_jL5eXGK_qkyFNXxvRzH0Eg_19_24"/>
      <w:bookmarkStart w:id="502" w:name="Tc_D7yv_7DKNk2SZT6CorFvYA_19_21"/>
      <w:bookmarkStart w:id="503" w:name="Tc_RGuKmzSbMESMe0TueRF6Pg_19_15"/>
      <w:bookmarkStart w:id="504" w:name="Tc_iSuO7zTaBkGkZ67wliLe4Q_19_12"/>
      <w:bookmarkStart w:id="505" w:name="Tc_FyTboYkkfEe48CDq5HzGkg_19_10"/>
      <w:bookmarkStart w:id="506" w:name="Tc_rB7xNh4-2UqNIK8Zyu6eyQ_19_7"/>
      <w:bookmarkStart w:id="507" w:name="Tc_AnYngZbj4U-A-8zY2pHt-Q_19_5"/>
      <w:bookmarkStart w:id="508" w:name="Tc_YbGE_O3x60SZVIk2z232-A_19_2"/>
      <w:bookmarkStart w:id="509" w:name="Tc_fKlihsKA80GIVTKjvGUCJg_19_0"/>
      <w:bookmarkStart w:id="510" w:name="Tc_5JT1famIV02vEIrcriXFFw_18_24"/>
      <w:bookmarkStart w:id="511" w:name="Tc_9-TGOflZU0CqUd3IW5fFvA_18_21"/>
      <w:bookmarkStart w:id="512" w:name="Tc_9Ei5Cedl2UqkTRERntwPIQ_18_18"/>
      <w:bookmarkStart w:id="513" w:name="Tc_uavyKIwsMEi1G2gYhFcBgw_18_15"/>
      <w:bookmarkStart w:id="514" w:name="Tc_gOi_PQ8o8kaLaiwDVo-Qjw_18_12"/>
      <w:bookmarkStart w:id="515" w:name="Tc_p3btaSxjNUuVk9oqyiHBbw_18_10"/>
      <w:bookmarkStart w:id="516" w:name="Tc_DqsUeIUj3k2Clo1HwzTyUw_18_7"/>
      <w:bookmarkStart w:id="517" w:name="Tc_ESdCUyCurkOSNyT9aNhmpA_18_0"/>
      <w:bookmarkStart w:id="518" w:name="Tc_7aWI8cW0zUehCDXwEh5u-A_17_15"/>
      <w:bookmarkStart w:id="519" w:name="Tc__gQ_lSX1y0GQgzZIKwM4iA_17_0"/>
      <w:bookmarkStart w:id="520" w:name="Tc_kU6U5X8ftkiPnAbg1UyBSw_16_24"/>
      <w:bookmarkStart w:id="521" w:name="Tc_0BbwSWCFRE-6EQfxMxLxvQ_16_18"/>
      <w:bookmarkStart w:id="522" w:name="Tc_vB5IP_5ggUCtHbPYoLx3uA_16_15"/>
      <w:bookmarkStart w:id="523" w:name="Tc_ZroJjMXsV0Oq4D-UF08Ctw_16_12"/>
      <w:bookmarkStart w:id="524" w:name="Tc_CUYVosaRX0iO-KDNn78Vlg_16_10"/>
      <w:bookmarkStart w:id="525" w:name="Tc_CJQ3ixvZj0OPqi3Vppgcrg_16_7"/>
      <w:bookmarkStart w:id="526" w:name="Tc_H_2Dkla5kkq33wADw04ftQ_16_5"/>
      <w:bookmarkStart w:id="527" w:name="Tc_Polv8rx78EaNp1c4rQEl5g_16_2"/>
      <w:bookmarkStart w:id="528" w:name="Tc_cwQlSadHCEiOPA4BXRgdVg_16_0"/>
      <w:bookmarkStart w:id="529" w:name="Tc_6l9L6ttX20yky7hZnQY3NA_15_21"/>
      <w:bookmarkStart w:id="530" w:name="Tc_Eluqg7VFkEmFCqz_ErhF9w_15_18"/>
      <w:bookmarkStart w:id="531" w:name="Tc_wVOX82H4i0GpgTtdHx36fg_15_15"/>
      <w:bookmarkStart w:id="532" w:name="Tc_2TENYRx_QU60i220FfrEyw_15_12"/>
      <w:bookmarkStart w:id="533" w:name="Tc_X4V0UhlJNUOh5rZLbgrm7Q_15_10"/>
      <w:bookmarkStart w:id="534" w:name="Tc_cXsc_ByXwU6rwFz4mAkj_w_15_7"/>
      <w:bookmarkStart w:id="535" w:name="Tc_5sQfqcubCk6pXd0hl_XpCA_15_5"/>
      <w:bookmarkStart w:id="536" w:name="Tc_233qeu1Vp0-MQM3JbSrf0A_15_2"/>
      <w:bookmarkStart w:id="537" w:name="Tc_cDx1w_Xo50C6CB_JN52N8w_15_0"/>
      <w:bookmarkStart w:id="538" w:name="Tc_G9aq3gEc5USfJvtodyARXg_14_24"/>
      <w:bookmarkStart w:id="539" w:name="Tc_OohrIoq7xkyY4pJUyhpeGQ_14_21"/>
      <w:bookmarkStart w:id="540" w:name="Tc_RHNOYfmzBkulrjDEPFhCbA_14_15"/>
      <w:bookmarkStart w:id="541" w:name="Tc_3WrDKU07aECZYggir7dUyg_14_10"/>
      <w:bookmarkStart w:id="542" w:name="Tc_TB8ePQhWn0e-pVA4DlwvCA_14_7"/>
      <w:bookmarkStart w:id="543" w:name="Tc_YdAQ_wCEpU2HLpC0z3sS-Q_14_5"/>
      <w:bookmarkStart w:id="544" w:name="Tc_BxauW9w5XESgLsHPhBXCDg_14_2"/>
      <w:bookmarkStart w:id="545" w:name="Tc_kR5mukr-LkaByg0t3F_x1A_14_0"/>
      <w:bookmarkStart w:id="546" w:name="Tc_omI1mRYDdkqRtz-hQCl4tQ_13_24"/>
      <w:bookmarkStart w:id="547" w:name="Tc_51GiTdwLIE-3UIm28t1Bww_13_21"/>
      <w:bookmarkStart w:id="548" w:name="Tc_8-Up5G7wE06yynzAb1aoIQ_13_15"/>
      <w:bookmarkStart w:id="549" w:name="Tc_23Y3tpBrY0a6GAAY-2iicQ_13_12"/>
      <w:bookmarkStart w:id="550" w:name="Tc_ZkaqiLxQZ0qjoXA9nr3EBQ_13_10"/>
      <w:bookmarkStart w:id="551" w:name="Tc_tL3q6nNtQE-qtOmvocliMw_13_7"/>
      <w:bookmarkStart w:id="552" w:name="Tc_cgnmyYyMRkWfiT45UqKDsQ_13_5"/>
      <w:bookmarkStart w:id="553" w:name="Tc_gPKdyMeKKEqGhMktoZUopw_13_2"/>
      <w:bookmarkStart w:id="554" w:name="Tc_okL9esZy8UeD_7G00pXP-A_13_0"/>
      <w:bookmarkStart w:id="555" w:name="Tc_Y_OmxD8IX0CapevTJpftmQ_12_24"/>
      <w:bookmarkStart w:id="556" w:name="Tc_deV3eOicXEi0vHgpsxulIQ_12_21"/>
      <w:bookmarkStart w:id="557" w:name="Tc_wUenaUIAKkW-2QI52a_P8g_12_15"/>
      <w:bookmarkStart w:id="558" w:name="Tc_5bfg89l-u0ywXGRVbPN3TA_12_12"/>
      <w:bookmarkStart w:id="559" w:name="Tc_acSFLk07F0iWAq5tEUTS_A_12_10"/>
      <w:bookmarkStart w:id="560" w:name="Tc_JxOY4hvpxkiUZwc7N7Adyw_12_7"/>
      <w:bookmarkStart w:id="561" w:name="Tc_7BMeeBACtkCx7GL8VoqJbQ_12_5"/>
      <w:bookmarkStart w:id="562" w:name="Tc_TX65TVpASEGwWHK6i8T4ug_12_2"/>
      <w:bookmarkStart w:id="563" w:name="Tc_whs-IjrE3UeVvH0YSWS98g_12_0"/>
      <w:bookmarkStart w:id="564" w:name="Tc_jhgdYMiRIEq6sQBeWZYf0g_11_24"/>
      <w:bookmarkStart w:id="565" w:name="Tc_hVOCdW7beEKBzVMJUBsyMw_11_21"/>
      <w:bookmarkStart w:id="566" w:name="Tc_THcMXAAZSEORhPHSvWcobQ_11_18"/>
      <w:bookmarkStart w:id="567" w:name="Tc_UN0e4Wy6ykWAcLXvLE3dfA_11_15"/>
      <w:bookmarkStart w:id="568" w:name="Tc_5O7lp4Rp4EWjuLpcaAMmYQ_11_12"/>
      <w:bookmarkStart w:id="569" w:name="Tc_ecRTzQfSRUOuSbleil5y8A_11_10"/>
      <w:bookmarkStart w:id="570" w:name="Tc_nRhwn1IJlUO0918izbk-ig_11_7"/>
      <w:bookmarkStart w:id="571" w:name="Tc_d8Lx7Dl6WkanukSkCTBAVg_11_0"/>
      <w:bookmarkStart w:id="572" w:name="Tc_Ab5qesFRWk-iSldFpUJ6DA_10_26"/>
      <w:bookmarkStart w:id="573" w:name="Tc_r8igeAk20kKWh4Y2a8ygYA_10_20"/>
      <w:bookmarkStart w:id="574" w:name="Tc_QLpNi7CYPk67FrOj1eFvhA_10_17"/>
      <w:bookmarkStart w:id="575" w:name="Tc_gZA_pQwqw0-bWxDNev4YeA_10_15"/>
      <w:bookmarkStart w:id="576" w:name="Tc_cI05RuZUIkyyv8ZvZC3thg_10_9"/>
      <w:bookmarkStart w:id="577" w:name="Tc_mScbdgDhQUym8BzUjfDkkQ_10_4"/>
      <w:bookmarkStart w:id="578" w:name="Tc_SN5JTolhKkqsB9FMbzpD4A_10_0"/>
      <w:bookmarkStart w:id="579" w:name="Tc_cvultG8ENUiQC0sV94HzUg_8_26"/>
      <w:bookmarkStart w:id="580" w:name="Tc_USp6SbVLgUKsBQsRTih7jw_8_23"/>
      <w:bookmarkStart w:id="581" w:name="Tc_kV6zUEMz10WvAcHZ9rANSQ_8_20"/>
      <w:bookmarkStart w:id="582" w:name="Tc_3wKZ0qpW206SUglavw1eKQ_8_17"/>
      <w:bookmarkStart w:id="583" w:name="Tc_IbDU5FyAlEu9TEzeaTQ5EA_8_14"/>
      <w:bookmarkStart w:id="584" w:name="Tc_LJ_PYaihkUmMSirD8rfFVA_8_12"/>
      <w:bookmarkStart w:id="585" w:name="Tc_8cSApkHzAEq0exPVNK6b6Q_8_9"/>
      <w:bookmarkStart w:id="586" w:name="Tc_O0izYBOFk0iYl5wayO8D4w_8_7"/>
      <w:bookmarkStart w:id="587" w:name="Tc_naw87lJuWkGaVMXJce5RGA_8_4"/>
      <w:bookmarkStart w:id="588" w:name="Tc_ifSyqurX1kC3Zbb03HPngw_8_2"/>
      <w:bookmarkStart w:id="589" w:name="Tc_OEr7ZqA4XUunYABlevvPrA_7_26"/>
      <w:bookmarkStart w:id="590" w:name="Tc_QPq2SApTz0CoyQ3gj1mp5g_7_23"/>
      <w:bookmarkStart w:id="591" w:name="Tc_YhAHRAzsbk-mQJsaTYyHjQ_7_20"/>
      <w:bookmarkStart w:id="592" w:name="Tc_Mqa5nHbiDkeOcVylABqM6Q_7_17"/>
      <w:bookmarkStart w:id="593" w:name="Tc_pXTfCTwyrUqkzc00OXzDqw_6_26"/>
      <w:bookmarkStart w:id="594" w:name="Tc_Tz5-Zq7FUkew7QghZFRuIQ_6_23"/>
      <w:bookmarkStart w:id="595" w:name="Tc_RBeegRX5AkGXmB2YB1eTfA_6_17"/>
      <w:bookmarkStart w:id="596" w:name="Tc_fUwtDSaUgkuY42kRhDLBXg_5_26"/>
      <w:bookmarkStart w:id="597" w:name="Tc_toymXKzTxEqdTH7a_TIlnQ_5_23"/>
      <w:bookmarkStart w:id="598" w:name="Tc_kL9BX5GGkEmXvUircZEYfw_4_26"/>
      <w:bookmarkStart w:id="599" w:name="Tc_gqwrxm-RM0-XXlW-mnsyJA_3_12"/>
      <w:bookmarkStart w:id="600" w:name="Tc_gBBPcBOpRUyzovnGTZNBGQ_3_7"/>
      <w:bookmarkStart w:id="601" w:name="Tc_hrI7KlH22Ee8iBp9Y5Sfug_3_2"/>
      <w:bookmarkStart w:id="602" w:name="Tc_1eAOoVLmiE-5VtHt_FBJOQ_2_7"/>
      <w:bookmarkStart w:id="603" w:name="Tc_DTnNnLsoqEeZ38oDGAzpEA_2_2"/>
      <w:bookmarkStart w:id="604" w:name="Tc_69suxR54HE-lTqTrIF-3ew_1_2"/>
      <w:bookmarkStart w:id="605" w:name="_3626856e_533e_4dc3_9868_fdc4069c07ef"/>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tbl>
      <w:tblPr>
        <w:tblW w:w="11213" w:type="dxa"/>
        <w:jc w:val="left"/>
        <w:tblInd w:w="0" w:type="dxa"/>
        <w:tblLayout w:type="fixed"/>
        <w:tblCellMar>
          <w:top w:w="0" w:type="dxa"/>
          <w:left w:w="0" w:type="dxa"/>
          <w:bottom w:w="0" w:type="dxa"/>
          <w:right w:w="0" w:type="dxa"/>
        </w:tblCellMar>
      </w:tblPr>
      <w:tblGrid>
        <w:gridCol w:w="931"/>
        <w:gridCol w:w="346"/>
        <w:gridCol w:w="436"/>
        <w:gridCol w:w="346"/>
        <w:gridCol w:w="181"/>
        <w:gridCol w:w="511"/>
        <w:gridCol w:w="346"/>
        <w:gridCol w:w="421"/>
        <w:gridCol w:w="346"/>
        <w:gridCol w:w="181"/>
        <w:gridCol w:w="436"/>
        <w:gridCol w:w="346"/>
        <w:gridCol w:w="511"/>
        <w:gridCol w:w="346"/>
        <w:gridCol w:w="196"/>
        <w:gridCol w:w="375"/>
        <w:gridCol w:w="346"/>
        <w:gridCol w:w="196"/>
        <w:gridCol w:w="555"/>
        <w:gridCol w:w="346"/>
        <w:gridCol w:w="213"/>
        <w:gridCol w:w="658"/>
        <w:gridCol w:w="346"/>
        <w:gridCol w:w="331"/>
        <w:gridCol w:w="690"/>
        <w:gridCol w:w="346"/>
        <w:gridCol w:w="215"/>
        <w:gridCol w:w="71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91185" cy="175260"/>
                      <wp:effectExtent l="0" t="0" r="0" b="0"/>
                      <wp:wrapNone/>
                      <wp:docPr id="36" name="Frame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76860" cy="175260"/>
                      <wp:effectExtent l="0" t="0" r="0" b="0"/>
                      <wp:wrapNone/>
                      <wp:docPr id="38" name="Frame3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14935" cy="175260"/>
                      <wp:effectExtent l="0" t="0" r="0" b="0"/>
                      <wp:wrapNone/>
                      <wp:docPr id="40"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24485" cy="175260"/>
                      <wp:effectExtent l="0" t="0" r="0" b="0"/>
                      <wp:wrapNone/>
                      <wp:docPr id="41" name="Frame4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7335" cy="175260"/>
                      <wp:effectExtent l="0" t="0" r="0" b="0"/>
                      <wp:wrapNone/>
                      <wp:docPr id="43" name="Frame4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14935" cy="175260"/>
                      <wp:effectExtent l="0" t="0" r="0" b="0"/>
                      <wp:wrapNone/>
                      <wp:docPr id="45" name="Frame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76860" cy="175260"/>
                      <wp:effectExtent l="0" t="0" r="0" b="0"/>
                      <wp:wrapNone/>
                      <wp:docPr id="46" name="Frame4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24485" cy="175260"/>
                      <wp:effectExtent l="0" t="0" r="0" b="0"/>
                      <wp:wrapNone/>
                      <wp:docPr id="48" name="Frame4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38125" cy="175260"/>
                      <wp:effectExtent l="0" t="0" r="0" b="0"/>
                      <wp:wrapNone/>
                      <wp:docPr id="51" name="Frame5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52425" cy="175260"/>
                      <wp:effectExtent l="0" t="0" r="0" b="0"/>
                      <wp:wrapNone/>
                      <wp:docPr id="54" name="Frame54"/>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5255" cy="175260"/>
                      <wp:effectExtent l="0" t="0" r="0" b="0"/>
                      <wp:wrapNone/>
                      <wp:docPr id="56" name="Frame5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17830" cy="175260"/>
                      <wp:effectExtent l="0" t="0" r="0" b="0"/>
                      <wp:wrapNone/>
                      <wp:docPr id="57" name="Frame5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0185" cy="175260"/>
                      <wp:effectExtent l="0" t="0" r="0" b="0"/>
                      <wp:wrapNone/>
                      <wp:docPr id="59" name="Frame5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150" cy="175260"/>
                      <wp:effectExtent l="0" t="0" r="0" b="0"/>
                      <wp:wrapNone/>
                      <wp:docPr id="60" name="Frame6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6525" cy="175260"/>
                      <wp:effectExtent l="0" t="0" r="0" b="0"/>
                      <wp:wrapNone/>
                      <wp:docPr id="62" name="Frame6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4660" cy="175260"/>
                      <wp:effectExtent l="0" t="0" r="0" b="0"/>
                      <wp:wrapNone/>
                      <wp:docPr id="63" name="Frame6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36"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three and six months ended June 30, 2026</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Class A Redeemable Convertible </w:t>
            </w:r>
          </w:p>
        </w:tc>
        <w:tc>
          <w:tcPr>
            <w:tcW w:w="346" w:type="dxa"/>
            <w:tcBorders/>
            <w:vAlign w:val="center"/>
          </w:tcPr>
          <w:p>
            <w:pPr>
              <w:pStyle w:val="TableContents"/>
              <w:bidi w:val="0"/>
              <w:spacing w:before="0" w:after="1"/>
              <w:ind w:left="0" w:right="0" w:hanging="0"/>
              <w:jc w:val="center"/>
              <w:rPr/>
            </w:pPr>
            <w:r>
              <w:rPr/>
              <w:t>​</w:t>
            </w:r>
          </w:p>
        </w:tc>
        <w:tc>
          <w:tcPr>
            <w:tcW w:w="138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Class B Convertible </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46" w:type="dxa"/>
            <w:tcBorders/>
            <w:vAlign w:val="center"/>
          </w:tcPr>
          <w:p>
            <w:pPr>
              <w:pStyle w:val="TableContents"/>
              <w:bidi w:val="0"/>
              <w:spacing w:before="0" w:after="1"/>
              <w:ind w:left="0" w:right="0" w:hanging="0"/>
              <w:jc w:val="center"/>
              <w:rPr/>
            </w:pPr>
            <w:r>
              <w:rPr/>
              <w:t>  ​ ​ ​</w:t>
            </w:r>
          </w:p>
        </w:tc>
        <w:tc>
          <w:tcPr>
            <w:tcW w:w="13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46" w:type="dxa"/>
            <w:tcBorders/>
            <w:vAlign w:val="center"/>
          </w:tcPr>
          <w:p>
            <w:pPr>
              <w:pStyle w:val="TableContents"/>
              <w:bidi w:val="0"/>
              <w:spacing w:before="0" w:after="1"/>
              <w:ind w:left="0" w:right="0" w:hanging="0"/>
              <w:jc w:val="center"/>
              <w:rPr/>
            </w:pPr>
            <w:r>
              <w:rPr/>
              <w:t>  ​ ​ ​</w:t>
            </w:r>
          </w:p>
        </w:tc>
        <w:tc>
          <w:tcPr>
            <w:tcW w:w="142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1"/>
              <w:ind w:left="0" w:right="0" w:hanging="0"/>
              <w:jc w:val="left"/>
              <w:rPr/>
            </w:pPr>
            <w:r>
              <w:rPr/>
              <w:t>  ​ ​ ​</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and</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Mezzanine</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16" w:type="dxa"/>
            <w:tcBorders/>
            <w:vAlign w:val="center"/>
          </w:tcPr>
          <w:p>
            <w:pPr>
              <w:pStyle w:val="TableContents"/>
              <w:bidi w:val="0"/>
              <w:spacing w:before="0" w:after="1"/>
              <w:ind w:left="0" w:right="0" w:hanging="0"/>
              <w:jc w:val="center"/>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1,626</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15,668</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16,716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23,709</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(22,496)</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18,267</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(366)</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(366)</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 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value of interest rate swap</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1,901</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1,901</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March 31, 2026</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1,644</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15,851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16,811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23,701</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(20,595)</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20,419</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(374)</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(374)</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 based compensation</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stock units</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value of interest rate swap</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337</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337</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June 30, 2026</w:t>
            </w:r>
          </w:p>
        </w:tc>
        <w:tc>
          <w:tcPr>
            <w:tcW w:w="346" w:type="dxa"/>
            <w:tcBorders/>
            <w:vAlign w:val="center"/>
          </w:tcPr>
          <w:p>
            <w:pPr>
              <w:pStyle w:val="TableContents"/>
              <w:bidi w:val="0"/>
              <w:spacing w:before="0" w:after="1"/>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1,662</w:t>
            </w:r>
          </w:p>
        </w:tc>
        <w:tc>
          <w:tcPr>
            <w:tcW w:w="346" w:type="dxa"/>
            <w:tcBorders/>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16,038</w:t>
            </w:r>
          </w:p>
        </w:tc>
        <w:tc>
          <w:tcPr>
            <w:tcW w:w="346" w:type="dxa"/>
            <w:tcBorders/>
            <w:vAlign w:val="center"/>
          </w:tcPr>
          <w:p>
            <w:pPr>
              <w:pStyle w:val="TableContents"/>
              <w:bidi w:val="0"/>
              <w:spacing w:before="0" w:after="1"/>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w:t>
            </w:r>
          </w:p>
        </w:tc>
        <w:tc>
          <w:tcPr>
            <w:tcW w:w="346" w:type="dxa"/>
            <w:tcBorders/>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1,500</w:t>
            </w:r>
          </w:p>
        </w:tc>
        <w:tc>
          <w:tcPr>
            <w:tcW w:w="346" w:type="dxa"/>
            <w:tcBorders/>
            <w:vAlign w:val="center"/>
          </w:tcPr>
          <w:p>
            <w:pPr>
              <w:pStyle w:val="TableContents"/>
              <w:bidi w:val="0"/>
              <w:spacing w:before="0" w:after="1"/>
              <w:ind w:left="0" w:right="0" w:hanging="0"/>
              <w:jc w:val="righ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17,061</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23,465</w:t>
            </w:r>
          </w:p>
        </w:tc>
        <w:tc>
          <w:tcPr>
            <w:tcW w:w="346" w:type="dxa"/>
            <w:tcBorders/>
            <w:vAlign w:val="center"/>
          </w:tcPr>
          <w:p>
            <w:pPr>
              <w:pStyle w:val="TableContents"/>
              <w:bidi w:val="0"/>
              <w:spacing w:before="0" w:after="1"/>
              <w:ind w:left="0" w:right="0" w:hanging="0"/>
              <w:jc w:val="righ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(20,258)</w:t>
            </w:r>
          </w:p>
        </w:tc>
        <w:tc>
          <w:tcPr>
            <w:tcW w:w="346" w:type="dxa"/>
            <w:tcBorders/>
            <w:vAlign w:val="center"/>
          </w:tcPr>
          <w:p>
            <w:pPr>
              <w:pStyle w:val="TableContents"/>
              <w:bidi w:val="0"/>
              <w:spacing w:before="0" w:after="1"/>
              <w:ind w:left="0" w:right="0" w:hanging="0"/>
              <w:jc w:val="righ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37</w:t>
            </w:r>
          </w:p>
        </w:tc>
        <w:tc>
          <w:tcPr>
            <w:tcW w:w="346" w:type="dxa"/>
            <w:tcBorders/>
            <w:vAlign w:val="center"/>
          </w:tcPr>
          <w:p>
            <w:pPr>
              <w:pStyle w:val="TableContents"/>
              <w:bidi w:val="0"/>
              <w:spacing w:before="0" w:after="1"/>
              <w:ind w:left="0" w:right="0" w:hanging="0"/>
              <w:jc w:val="righ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16"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20,782</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06" w:name="Tc__T_yRjwQTU2-sBY-LJpPhg_22_26"/>
      <w:bookmarkStart w:id="607" w:name="Tc_W21wxESNBE-rsndR44QqcA_22_23"/>
      <w:bookmarkStart w:id="608" w:name="Tc_SRTI7dCg_02D281Jbw-Z9g_22_20"/>
      <w:bookmarkStart w:id="609" w:name="Tc_V0JB7ZGw2UWXJxYnhuL_8g_22_17"/>
      <w:bookmarkStart w:id="610" w:name="Tc_GLczxS2sFUm9EdVxHMwycw_22_15"/>
      <w:bookmarkStart w:id="611" w:name="Tc_3PRL9dCpUE-Yh1aqZXxyTA_22_14"/>
      <w:bookmarkStart w:id="612" w:name="Tc_mOJjnff_8kq4XxCfQaOx9g_22_9"/>
      <w:bookmarkStart w:id="613" w:name="Tc_wrqirUiBqkSMhhi_S9DjSQ_22_4"/>
      <w:bookmarkStart w:id="614" w:name="Tc_gfq8piCdNk2PuqHbXTYwFg_22_0"/>
      <w:bookmarkStart w:id="615" w:name="Tc_iPgrRZl2gkCj11wXUjRURQ_21_24"/>
      <w:bookmarkStart w:id="616" w:name="Tc_C48J3OakM0yeB_4MupawZg_21_18"/>
      <w:bookmarkStart w:id="617" w:name="Tc_r2fSFpUx4UKqZ0NM6NdPMA_21_15"/>
      <w:bookmarkStart w:id="618" w:name="Tc_4zy02oBfPU-tI5OrAoTCNA_21_12"/>
      <w:bookmarkStart w:id="619" w:name="Tc_DpGqpDZ1pEmbnKU0ew-E8w_21_10"/>
      <w:bookmarkStart w:id="620" w:name="Tc_YW9CtaiO7k-NssgktbTngg_21_7"/>
      <w:bookmarkStart w:id="621" w:name="Tc_1XEs_yh_6U-xVq7Zk2_7ig_21_5"/>
      <w:bookmarkStart w:id="622" w:name="Tc_5VGbm8Ock0edgzoIj1CUfg_21_2"/>
      <w:bookmarkStart w:id="623" w:name="Tc_rPDsK0GK50i628iI8FsmhA_21_0"/>
      <w:bookmarkStart w:id="624" w:name="Tc_yMLpOC4QzUSKniTSLVwxxQ_20_21"/>
      <w:bookmarkStart w:id="625" w:name="Tc_V01ES_LPa0WHcFPkrHYy9g_20_18"/>
      <w:bookmarkStart w:id="626" w:name="Tc_89_sF4q_90mmXrYt_XG-Yg_20_15"/>
      <w:bookmarkStart w:id="627" w:name="Tc_V95lgKVkD0C-Txc1p-r82Q_20_12"/>
      <w:bookmarkStart w:id="628" w:name="Tc_XNDKZLZV0EudTFBJuCD4zw_20_10"/>
      <w:bookmarkStart w:id="629" w:name="Tc_ZPEjtlB-lEW2V_Q8qcPd3A_20_7"/>
      <w:bookmarkStart w:id="630" w:name="Tc_1g4s4krBTk2Iv6nTya8BkQ_20_5"/>
      <w:bookmarkStart w:id="631" w:name="Tc_wIeHFXfgHkS9pwCEDPJHAg_20_2"/>
      <w:bookmarkStart w:id="632" w:name="Tc_H9eJ1Y28EEeWzqAR0Y5Dyw_20_0"/>
      <w:bookmarkStart w:id="633" w:name="Tc_3u7u4JQrKU6kr6a4Tyhgxg_19_24"/>
      <w:bookmarkStart w:id="634" w:name="Tc_EqcH_Xh59kKFIQ2dX5K1lg_19_21"/>
      <w:bookmarkStart w:id="635" w:name="Tc_pA5bbza8pkuFRYm6dDIqeg_19_15"/>
      <w:bookmarkStart w:id="636" w:name="Tc_8gGPBb07nE6p45ZarX3dsQ_19_10"/>
      <w:bookmarkStart w:id="637" w:name="Tc_xR-yOVnpNEGMLhtdOA17FQ_19_7"/>
      <w:bookmarkStart w:id="638" w:name="Tc_tuYlA1Emq0e-gj7sifbopQ_19_5"/>
      <w:bookmarkStart w:id="639" w:name="Tc_mN6z6JB1pkimtNgYr0IkZA_19_2"/>
      <w:bookmarkStart w:id="640" w:name="Tc_zJg0tV5uT02VO-IwMVYiSg_19_0"/>
      <w:bookmarkStart w:id="641" w:name="Tc_3FOa7ebX-0CQYsaErlWNMw_18_24"/>
      <w:bookmarkStart w:id="642" w:name="Tc_wvcVZip83EuVgVu9JXxcQw_18_21"/>
      <w:bookmarkStart w:id="643" w:name="Tc_5uq4C3iziUyrK7VFczH29w_18_15"/>
      <w:bookmarkStart w:id="644" w:name="Tc_9LP5VhokaECF-5llvU_zCg_18_12"/>
      <w:bookmarkStart w:id="645" w:name="Tc_ZJT4p_PQA0SbnIMBBqzFMA_18_10"/>
      <w:bookmarkStart w:id="646" w:name="Tc_Q3B2KMp300CnTY47lv5HsA_18_7"/>
      <w:bookmarkStart w:id="647" w:name="Tc_UIWYJl3vFU2nIq2d-rXX_w_18_5"/>
      <w:bookmarkStart w:id="648" w:name="Tc_eFjPMUGRfESREWNIiatIuw_18_2"/>
      <w:bookmarkStart w:id="649" w:name="Tc_noxsl32_CkOHYRgz_Wxobw_18_0"/>
      <w:bookmarkStart w:id="650" w:name="Tc_c6XqsVGTGEGfd7Ih4Yd29g_17_24"/>
      <w:bookmarkStart w:id="651" w:name="Tc_SnePZ9ZYWkuoLtv2TVBp1g_17_21"/>
      <w:bookmarkStart w:id="652" w:name="Tc_ZeZmO0_bfESqfH8joO0ogQ_17_15"/>
      <w:bookmarkStart w:id="653" w:name="Tc_XxrMHUGto0ayGGYof1Mmgg_17_12"/>
      <w:bookmarkStart w:id="654" w:name="Tc_js_Lcm3vXEqEhuIMnYEK3A_17_10"/>
      <w:bookmarkStart w:id="655" w:name="Tc_ahQ9cE24XEqZa4XJDAl2-w_17_7"/>
      <w:bookmarkStart w:id="656" w:name="Tc_EEcoIM8Eh0O83aMrFqcftw_17_5"/>
      <w:bookmarkStart w:id="657" w:name="Tc_qJZ-ob_OMUqLdgUdqrNHqQ_17_2"/>
      <w:bookmarkStart w:id="658" w:name="Tc_6iesvfo7WE-Hl4PnHqqRdg_17_0"/>
      <w:bookmarkStart w:id="659" w:name="Tc_BqmJYvXNxEWlblWQj8mSLA_16_24"/>
      <w:bookmarkStart w:id="660" w:name="Tc_EBGA2kchN0qe6s5Ch8KwvQ_16_21"/>
      <w:bookmarkStart w:id="661" w:name="Tc_VE7ZhJbaVEyvhFs9BaYHOA_16_18"/>
      <w:bookmarkStart w:id="662" w:name="Tc_fN_LScHUyU6X6Q-kzOq4gA_16_15"/>
      <w:bookmarkStart w:id="663" w:name="Tc_jBIZJ3KWuUqcxq696Z3A6Q_16_12"/>
      <w:bookmarkStart w:id="664" w:name="Tc_wWB2PA8irEOqVulr6amG4Q_16_10"/>
      <w:bookmarkStart w:id="665" w:name="Tc_nl3gbmnNyEm_t28JPFhoaw_16_7"/>
      <w:bookmarkStart w:id="666" w:name="Tc_mo26NBErjEKoJQ8KPNm59Q_16_0"/>
      <w:bookmarkStart w:id="667" w:name="Tc_JkXhzAD2QUWx3_uspYh1bw_15_24"/>
      <w:bookmarkStart w:id="668" w:name="Tc_Sjn6SdiYw06S6e-bsPqB_Q_15_15"/>
      <w:bookmarkStart w:id="669" w:name="Tc_sR680DBvIkmNGj8vhCtxBQ_15_0"/>
      <w:bookmarkStart w:id="670" w:name="Tc_V3VB5aJUykmrEjPRz2fzFw_14_24"/>
      <w:bookmarkStart w:id="671" w:name="Tc_7YEY1lbXZkSIVlgJzrBhoQ_14_18"/>
      <w:bookmarkStart w:id="672" w:name="Tc_q63pL4lSKk2jYV4sCgO2og_14_15"/>
      <w:bookmarkStart w:id="673" w:name="Tc_u2r3wo3Mx0Gjxso3LFfBDw_14_12"/>
      <w:bookmarkStart w:id="674" w:name="Tc_jC9s9ubH2E2lZzPEvvDbfg_14_10"/>
      <w:bookmarkStart w:id="675" w:name="Tc_2LYemtHzFECNV2A8XfsdjQ_14_7"/>
      <w:bookmarkStart w:id="676" w:name="Tc_NeqAgClrx0a9gjHEiMMfcA_14_5"/>
      <w:bookmarkStart w:id="677" w:name="Tc_wsYpXb05OUCpewMcJYbm5g_14_2"/>
      <w:bookmarkStart w:id="678" w:name="Tc_4kjQE-64RE6kL7ZUmA7fzQ_14_0"/>
      <w:bookmarkStart w:id="679" w:name="Tc_VfdnkVNvgkykhf_nIaEXxw_13_24"/>
      <w:bookmarkStart w:id="680" w:name="Tc_nhpg1ujl7E2dFcmOL7c7MQ_13_21"/>
      <w:bookmarkStart w:id="681" w:name="Tc_kMneASsPIkGW1y_1YBUoqA_13_15"/>
      <w:bookmarkStart w:id="682" w:name="Tc_YJRsbxosRk28lFQSGZWyZg_13_12"/>
      <w:bookmarkStart w:id="683" w:name="Tc_z0XNH9_Ua02p4boUOy0IKw_13_10"/>
      <w:bookmarkStart w:id="684" w:name="Tc_9_Ij5PRhqku10rQG1xiUsg_13_7"/>
      <w:bookmarkStart w:id="685" w:name="Tc__58j1ZsQBk6K0BOnQkQaSQ_13_5"/>
      <w:bookmarkStart w:id="686" w:name="Tc_aQvoqsJ93kuvA59kSkmZLA_13_2"/>
      <w:bookmarkStart w:id="687" w:name="Tc_1jDq7cTBZ0Kqn2eNeeuVWg_13_0"/>
      <w:bookmarkStart w:id="688" w:name="Tc_j0MhBtijr0qFgt_7FlojPQ_12_24"/>
      <w:bookmarkStart w:id="689" w:name="Tc_i_SOEKO4-EK7Nce7Y5iokQ_12_21"/>
      <w:bookmarkStart w:id="690" w:name="Tc_og4jFw4yCEaYScFAhrx1wQ_12_15"/>
      <w:bookmarkStart w:id="691" w:name="Tc_mF15xUpofkGkob0ekpZcBQ_12_12"/>
      <w:bookmarkStart w:id="692" w:name="Tc_XPqMwBsru0yk29nlXpCv4A_12_10"/>
      <w:bookmarkStart w:id="693" w:name="Tc_xKdugtMJUECz6o9ouGTJfw_12_7"/>
      <w:bookmarkStart w:id="694" w:name="Tc_v2KDQt19kkOumhE3_8Z8wQ_12_5"/>
      <w:bookmarkStart w:id="695" w:name="Tc_0be0r-ER_UWbtJkNW_qVpQ_12_2"/>
      <w:bookmarkStart w:id="696" w:name="Tc_nFxGss6YRUK4X4yuLrrIxQ_12_0"/>
      <w:bookmarkStart w:id="697" w:name="Tc_Snwf3ThFokyweu6bwOFFxA_11_24"/>
      <w:bookmarkStart w:id="698" w:name="Tc_gzBioCzcP0O4NkK16dx7BQ_11_21"/>
      <w:bookmarkStart w:id="699" w:name="Tc_3oA6nYmMvEehl6g-epfmKQ_11_18"/>
      <w:bookmarkStart w:id="700" w:name="Tc_jYZ5-Yp0PkCfKOton2T9Bg_11_15"/>
      <w:bookmarkStart w:id="701" w:name="Tc_euaKm9oWfE-AoJuT8L5h7Q_11_12"/>
      <w:bookmarkStart w:id="702" w:name="Tc_48J09uTOj02sQ_rA6ERO3w_11_10"/>
      <w:bookmarkStart w:id="703" w:name="Tc_ZEEfucG6i065S6lhQAgo3Q_11_7"/>
      <w:bookmarkStart w:id="704" w:name="Tc_raHwhA5YNk6GXUDvorSrhQ_11_0"/>
      <w:bookmarkStart w:id="705" w:name="Tc_jDV3-WrrlkOeAVqHbpfZAQ_10_26"/>
      <w:bookmarkStart w:id="706" w:name="Tc_BA2uM9EAHk-L-IKOEcblcg_10_24"/>
      <w:bookmarkStart w:id="707" w:name="Tc_FpGlKMCXyEe0KiHx29LFhQ_10_20"/>
      <w:bookmarkStart w:id="708" w:name="Tc_9m5NY2xg-EqRBGqcKzLH6g_10_17"/>
      <w:bookmarkStart w:id="709" w:name="Tc_cFReLYIcO0Cm5aRxmR0Aiw_10_15"/>
      <w:bookmarkStart w:id="710" w:name="Tc_yKmB0XOvAkCIJyRyqkRMzw_10_9"/>
      <w:bookmarkStart w:id="711" w:name="Tc_WnjExoL89USE8wGM-MMXzw_10_4"/>
      <w:bookmarkStart w:id="712" w:name="Tc_VuEcAnKF0UiWrQ88AWvYGw_10_0"/>
      <w:bookmarkStart w:id="713" w:name="Tc_5MaMSWMbGk2IhbzBAA0ZlA_8_26"/>
      <w:bookmarkStart w:id="714" w:name="Tc_EW0G396DbkGYv_oSccF_yQ_8_23"/>
      <w:bookmarkStart w:id="715" w:name="Tc_ahF8i5YAaUms6ZRdhzRMLQ_8_20"/>
      <w:bookmarkStart w:id="716" w:name="Tc_F5NdNqlec0mkffnPgR4ISg_8_17"/>
      <w:bookmarkStart w:id="717" w:name="Tc_hjSnv1B5BUywhEBDp4Ek_Q_8_14"/>
      <w:bookmarkStart w:id="718" w:name="Tc_phHbgfFef061fAegn0L7Yw_8_12"/>
      <w:bookmarkStart w:id="719" w:name="Tc_5i36F2WFD0CppZKg8aJVvA_8_9"/>
      <w:bookmarkStart w:id="720" w:name="Tc_YAJRs6E9wkuSXR07g4X6vQ_8_7"/>
      <w:bookmarkStart w:id="721" w:name="Tc_VeSvr1feDEOVYwqmkzHemw_8_4"/>
      <w:bookmarkStart w:id="722" w:name="Tc_I_KK58Eny062UE9IdiZVQw_8_2"/>
      <w:bookmarkStart w:id="723" w:name="Tc_xuv32NF7BU6uztI_JQ5m3w_7_26"/>
      <w:bookmarkStart w:id="724" w:name="Tc_qP4x42XeiEumK6b5qxq4NQ_7_23"/>
      <w:bookmarkStart w:id="725" w:name="Tc_tjJ9Ds6XgkqSyC_1oH83gg_7_20"/>
      <w:bookmarkStart w:id="726" w:name="Tc_6SmYlxX-WU2qsBnwj0u0yg_7_17"/>
      <w:bookmarkStart w:id="727" w:name="Tc_eXDH9vn2rUuC0m9ULHLHhA_6_26"/>
      <w:bookmarkStart w:id="728" w:name="Tc_HRbJTMTH6kK8lBUuxPSkcg_6_23"/>
      <w:bookmarkStart w:id="729" w:name="Tc_WRHPT9r5UkebbaeaUsZX2Q_6_17"/>
      <w:bookmarkStart w:id="730" w:name="Tc_h92RoH8RcEedrn6U1hVH5g_5_26"/>
      <w:bookmarkStart w:id="731" w:name="Tc_9pmFNfswdUC_Y_O-0NYptA_5_23"/>
      <w:bookmarkStart w:id="732" w:name="Tc_0_RjjEP570CPSaWR9I8Zzw_4_26"/>
      <w:bookmarkStart w:id="733" w:name="Tc_Av1YFoWb4EOaCBYKgRR4bg_3_12"/>
      <w:bookmarkStart w:id="734" w:name="Tc_NLGfhcetekeDJmXJl4chbw_3_7"/>
      <w:bookmarkStart w:id="735" w:name="Tc_D2o18qDyBEqQQSpKYP7kDA_3_2"/>
      <w:bookmarkStart w:id="736" w:name="Tc_Sz7Gc16gOUq1gT-B5Dz1ZA_2_7"/>
      <w:bookmarkStart w:id="737" w:name="Tc_taX9E9fle0Gf9Xidus1Okg_2_2"/>
      <w:bookmarkStart w:id="738" w:name="Tc_JcZhh83JD0O0sr6x-pOJ_w_1_2"/>
      <w:bookmarkStart w:id="739" w:name="_98213c63_72b1_46b5_9b1f_1271bc83fbbb"/>
      <w:bookmarkStart w:id="740" w:name="Tc__T_yRjwQTU2-sBY-LJpPhg_22_26"/>
      <w:bookmarkStart w:id="741" w:name="Tc_W21wxESNBE-rsndR44QqcA_22_23"/>
      <w:bookmarkStart w:id="742" w:name="Tc_SRTI7dCg_02D281Jbw-Z9g_22_20"/>
      <w:bookmarkStart w:id="743" w:name="Tc_V0JB7ZGw2UWXJxYnhuL_8g_22_17"/>
      <w:bookmarkStart w:id="744" w:name="Tc_GLczxS2sFUm9EdVxHMwycw_22_15"/>
      <w:bookmarkStart w:id="745" w:name="Tc_3PRL9dCpUE-Yh1aqZXxyTA_22_14"/>
      <w:bookmarkStart w:id="746" w:name="Tc_mOJjnff_8kq4XxCfQaOx9g_22_9"/>
      <w:bookmarkStart w:id="747" w:name="Tc_wrqirUiBqkSMhhi_S9DjSQ_22_4"/>
      <w:bookmarkStart w:id="748" w:name="Tc_gfq8piCdNk2PuqHbXTYwFg_22_0"/>
      <w:bookmarkStart w:id="749" w:name="Tc_iPgrRZl2gkCj11wXUjRURQ_21_24"/>
      <w:bookmarkStart w:id="750" w:name="Tc_C48J3OakM0yeB_4MupawZg_21_18"/>
      <w:bookmarkStart w:id="751" w:name="Tc_r2fSFpUx4UKqZ0NM6NdPMA_21_15"/>
      <w:bookmarkStart w:id="752" w:name="Tc_4zy02oBfPU-tI5OrAoTCNA_21_12"/>
      <w:bookmarkStart w:id="753" w:name="Tc_DpGqpDZ1pEmbnKU0ew-E8w_21_10"/>
      <w:bookmarkStart w:id="754" w:name="Tc_YW9CtaiO7k-NssgktbTngg_21_7"/>
      <w:bookmarkStart w:id="755" w:name="Tc_1XEs_yh_6U-xVq7Zk2_7ig_21_5"/>
      <w:bookmarkStart w:id="756" w:name="Tc_5VGbm8Ock0edgzoIj1CUfg_21_2"/>
      <w:bookmarkStart w:id="757" w:name="Tc_rPDsK0GK50i628iI8FsmhA_21_0"/>
      <w:bookmarkStart w:id="758" w:name="Tc_yMLpOC4QzUSKniTSLVwxxQ_20_21"/>
      <w:bookmarkStart w:id="759" w:name="Tc_V01ES_LPa0WHcFPkrHYy9g_20_18"/>
      <w:bookmarkStart w:id="760" w:name="Tc_89_sF4q_90mmXrYt_XG-Yg_20_15"/>
      <w:bookmarkStart w:id="761" w:name="Tc_V95lgKVkD0C-Txc1p-r82Q_20_12"/>
      <w:bookmarkStart w:id="762" w:name="Tc_XNDKZLZV0EudTFBJuCD4zw_20_10"/>
      <w:bookmarkStart w:id="763" w:name="Tc_ZPEjtlB-lEW2V_Q8qcPd3A_20_7"/>
      <w:bookmarkStart w:id="764" w:name="Tc_1g4s4krBTk2Iv6nTya8BkQ_20_5"/>
      <w:bookmarkStart w:id="765" w:name="Tc_wIeHFXfgHkS9pwCEDPJHAg_20_2"/>
      <w:bookmarkStart w:id="766" w:name="Tc_H9eJ1Y28EEeWzqAR0Y5Dyw_20_0"/>
      <w:bookmarkStart w:id="767" w:name="Tc_3u7u4JQrKU6kr6a4Tyhgxg_19_24"/>
      <w:bookmarkStart w:id="768" w:name="Tc_EqcH_Xh59kKFIQ2dX5K1lg_19_21"/>
      <w:bookmarkStart w:id="769" w:name="Tc_pA5bbza8pkuFRYm6dDIqeg_19_15"/>
      <w:bookmarkStart w:id="770" w:name="Tc_8gGPBb07nE6p45ZarX3dsQ_19_10"/>
      <w:bookmarkStart w:id="771" w:name="Tc_xR-yOVnpNEGMLhtdOA17FQ_19_7"/>
      <w:bookmarkStart w:id="772" w:name="Tc_tuYlA1Emq0e-gj7sifbopQ_19_5"/>
      <w:bookmarkStart w:id="773" w:name="Tc_mN6z6JB1pkimtNgYr0IkZA_19_2"/>
      <w:bookmarkStart w:id="774" w:name="Tc_zJg0tV5uT02VO-IwMVYiSg_19_0"/>
      <w:bookmarkStart w:id="775" w:name="Tc_3FOa7ebX-0CQYsaErlWNMw_18_24"/>
      <w:bookmarkStart w:id="776" w:name="Tc_wvcVZip83EuVgVu9JXxcQw_18_21"/>
      <w:bookmarkStart w:id="777" w:name="Tc_5uq4C3iziUyrK7VFczH29w_18_15"/>
      <w:bookmarkStart w:id="778" w:name="Tc_9LP5VhokaECF-5llvU_zCg_18_12"/>
      <w:bookmarkStart w:id="779" w:name="Tc_ZJT4p_PQA0SbnIMBBqzFMA_18_10"/>
      <w:bookmarkStart w:id="780" w:name="Tc_Q3B2KMp300CnTY47lv5HsA_18_7"/>
      <w:bookmarkStart w:id="781" w:name="Tc_UIWYJl3vFU2nIq2d-rXX_w_18_5"/>
      <w:bookmarkStart w:id="782" w:name="Tc_eFjPMUGRfESREWNIiatIuw_18_2"/>
      <w:bookmarkStart w:id="783" w:name="Tc_noxsl32_CkOHYRgz_Wxobw_18_0"/>
      <w:bookmarkStart w:id="784" w:name="Tc_c6XqsVGTGEGfd7Ih4Yd29g_17_24"/>
      <w:bookmarkStart w:id="785" w:name="Tc_SnePZ9ZYWkuoLtv2TVBp1g_17_21"/>
      <w:bookmarkStart w:id="786" w:name="Tc_ZeZmO0_bfESqfH8joO0ogQ_17_15"/>
      <w:bookmarkStart w:id="787" w:name="Tc_XxrMHUGto0ayGGYof1Mmgg_17_12"/>
      <w:bookmarkStart w:id="788" w:name="Tc_js_Lcm3vXEqEhuIMnYEK3A_17_10"/>
      <w:bookmarkStart w:id="789" w:name="Tc_ahQ9cE24XEqZa4XJDAl2-w_17_7"/>
      <w:bookmarkStart w:id="790" w:name="Tc_EEcoIM8Eh0O83aMrFqcftw_17_5"/>
      <w:bookmarkStart w:id="791" w:name="Tc_qJZ-ob_OMUqLdgUdqrNHqQ_17_2"/>
      <w:bookmarkStart w:id="792" w:name="Tc_6iesvfo7WE-Hl4PnHqqRdg_17_0"/>
      <w:bookmarkStart w:id="793" w:name="Tc_BqmJYvXNxEWlblWQj8mSLA_16_24"/>
      <w:bookmarkStart w:id="794" w:name="Tc_EBGA2kchN0qe6s5Ch8KwvQ_16_21"/>
      <w:bookmarkStart w:id="795" w:name="Tc_VE7ZhJbaVEyvhFs9BaYHOA_16_18"/>
      <w:bookmarkStart w:id="796" w:name="Tc_fN_LScHUyU6X6Q-kzOq4gA_16_15"/>
      <w:bookmarkStart w:id="797" w:name="Tc_jBIZJ3KWuUqcxq696Z3A6Q_16_12"/>
      <w:bookmarkStart w:id="798" w:name="Tc_wWB2PA8irEOqVulr6amG4Q_16_10"/>
      <w:bookmarkStart w:id="799" w:name="Tc_nl3gbmnNyEm_t28JPFhoaw_16_7"/>
      <w:bookmarkStart w:id="800" w:name="Tc_mo26NBErjEKoJQ8KPNm59Q_16_0"/>
      <w:bookmarkStart w:id="801" w:name="Tc_JkXhzAD2QUWx3_uspYh1bw_15_24"/>
      <w:bookmarkStart w:id="802" w:name="Tc_Sjn6SdiYw06S6e-bsPqB_Q_15_15"/>
      <w:bookmarkStart w:id="803" w:name="Tc_sR680DBvIkmNGj8vhCtxBQ_15_0"/>
      <w:bookmarkStart w:id="804" w:name="Tc_V3VB5aJUykmrEjPRz2fzFw_14_24"/>
      <w:bookmarkStart w:id="805" w:name="Tc_7YEY1lbXZkSIVlgJzrBhoQ_14_18"/>
      <w:bookmarkStart w:id="806" w:name="Tc_q63pL4lSKk2jYV4sCgO2og_14_15"/>
      <w:bookmarkStart w:id="807" w:name="Tc_u2r3wo3Mx0Gjxso3LFfBDw_14_12"/>
      <w:bookmarkStart w:id="808" w:name="Tc_jC9s9ubH2E2lZzPEvvDbfg_14_10"/>
      <w:bookmarkStart w:id="809" w:name="Tc_2LYemtHzFECNV2A8XfsdjQ_14_7"/>
      <w:bookmarkStart w:id="810" w:name="Tc_NeqAgClrx0a9gjHEiMMfcA_14_5"/>
      <w:bookmarkStart w:id="811" w:name="Tc_wsYpXb05OUCpewMcJYbm5g_14_2"/>
      <w:bookmarkStart w:id="812" w:name="Tc_4kjQE-64RE6kL7ZUmA7fzQ_14_0"/>
      <w:bookmarkStart w:id="813" w:name="Tc_VfdnkVNvgkykhf_nIaEXxw_13_24"/>
      <w:bookmarkStart w:id="814" w:name="Tc_nhpg1ujl7E2dFcmOL7c7MQ_13_21"/>
      <w:bookmarkStart w:id="815" w:name="Tc_kMneASsPIkGW1y_1YBUoqA_13_15"/>
      <w:bookmarkStart w:id="816" w:name="Tc_YJRsbxosRk28lFQSGZWyZg_13_12"/>
      <w:bookmarkStart w:id="817" w:name="Tc_z0XNH9_Ua02p4boUOy0IKw_13_10"/>
      <w:bookmarkStart w:id="818" w:name="Tc_9_Ij5PRhqku10rQG1xiUsg_13_7"/>
      <w:bookmarkStart w:id="819" w:name="Tc__58j1ZsQBk6K0BOnQkQaSQ_13_5"/>
      <w:bookmarkStart w:id="820" w:name="Tc_aQvoqsJ93kuvA59kSkmZLA_13_2"/>
      <w:bookmarkStart w:id="821" w:name="Tc_1jDq7cTBZ0Kqn2eNeeuVWg_13_0"/>
      <w:bookmarkStart w:id="822" w:name="Tc_j0MhBtijr0qFgt_7FlojPQ_12_24"/>
      <w:bookmarkStart w:id="823" w:name="Tc_i_SOEKO4-EK7Nce7Y5iokQ_12_21"/>
      <w:bookmarkStart w:id="824" w:name="Tc_og4jFw4yCEaYScFAhrx1wQ_12_15"/>
      <w:bookmarkStart w:id="825" w:name="Tc_mF15xUpofkGkob0ekpZcBQ_12_12"/>
      <w:bookmarkStart w:id="826" w:name="Tc_XPqMwBsru0yk29nlXpCv4A_12_10"/>
      <w:bookmarkStart w:id="827" w:name="Tc_xKdugtMJUECz6o9ouGTJfw_12_7"/>
      <w:bookmarkStart w:id="828" w:name="Tc_v2KDQt19kkOumhE3_8Z8wQ_12_5"/>
      <w:bookmarkStart w:id="829" w:name="Tc_0be0r-ER_UWbtJkNW_qVpQ_12_2"/>
      <w:bookmarkStart w:id="830" w:name="Tc_nFxGss6YRUK4X4yuLrrIxQ_12_0"/>
      <w:bookmarkStart w:id="831" w:name="Tc_Snwf3ThFokyweu6bwOFFxA_11_24"/>
      <w:bookmarkStart w:id="832" w:name="Tc_gzBioCzcP0O4NkK16dx7BQ_11_21"/>
      <w:bookmarkStart w:id="833" w:name="Tc_3oA6nYmMvEehl6g-epfmKQ_11_18"/>
      <w:bookmarkStart w:id="834" w:name="Tc_jYZ5-Yp0PkCfKOton2T9Bg_11_15"/>
      <w:bookmarkStart w:id="835" w:name="Tc_euaKm9oWfE-AoJuT8L5h7Q_11_12"/>
      <w:bookmarkStart w:id="836" w:name="Tc_48J09uTOj02sQ_rA6ERO3w_11_10"/>
      <w:bookmarkStart w:id="837" w:name="Tc_ZEEfucG6i065S6lhQAgo3Q_11_7"/>
      <w:bookmarkStart w:id="838" w:name="Tc_raHwhA5YNk6GXUDvorSrhQ_11_0"/>
      <w:bookmarkStart w:id="839" w:name="Tc_jDV3-WrrlkOeAVqHbpfZAQ_10_26"/>
      <w:bookmarkStart w:id="840" w:name="Tc_BA2uM9EAHk-L-IKOEcblcg_10_24"/>
      <w:bookmarkStart w:id="841" w:name="Tc_FpGlKMCXyEe0KiHx29LFhQ_10_20"/>
      <w:bookmarkStart w:id="842" w:name="Tc_9m5NY2xg-EqRBGqcKzLH6g_10_17"/>
      <w:bookmarkStart w:id="843" w:name="Tc_cFReLYIcO0Cm5aRxmR0Aiw_10_15"/>
      <w:bookmarkStart w:id="844" w:name="Tc_yKmB0XOvAkCIJyRyqkRMzw_10_9"/>
      <w:bookmarkStart w:id="845" w:name="Tc_WnjExoL89USE8wGM-MMXzw_10_4"/>
      <w:bookmarkStart w:id="846" w:name="Tc_VuEcAnKF0UiWrQ88AWvYGw_10_0"/>
      <w:bookmarkStart w:id="847" w:name="Tc_5MaMSWMbGk2IhbzBAA0ZlA_8_26"/>
      <w:bookmarkStart w:id="848" w:name="Tc_EW0G396DbkGYv_oSccF_yQ_8_23"/>
      <w:bookmarkStart w:id="849" w:name="Tc_ahF8i5YAaUms6ZRdhzRMLQ_8_20"/>
      <w:bookmarkStart w:id="850" w:name="Tc_F5NdNqlec0mkffnPgR4ISg_8_17"/>
      <w:bookmarkStart w:id="851" w:name="Tc_hjSnv1B5BUywhEBDp4Ek_Q_8_14"/>
      <w:bookmarkStart w:id="852" w:name="Tc_phHbgfFef061fAegn0L7Yw_8_12"/>
      <w:bookmarkStart w:id="853" w:name="Tc_5i36F2WFD0CppZKg8aJVvA_8_9"/>
      <w:bookmarkStart w:id="854" w:name="Tc_YAJRs6E9wkuSXR07g4X6vQ_8_7"/>
      <w:bookmarkStart w:id="855" w:name="Tc_VeSvr1feDEOVYwqmkzHemw_8_4"/>
      <w:bookmarkStart w:id="856" w:name="Tc_I_KK58Eny062UE9IdiZVQw_8_2"/>
      <w:bookmarkStart w:id="857" w:name="Tc_xuv32NF7BU6uztI_JQ5m3w_7_26"/>
      <w:bookmarkStart w:id="858" w:name="Tc_qP4x42XeiEumK6b5qxq4NQ_7_23"/>
      <w:bookmarkStart w:id="859" w:name="Tc_tjJ9Ds6XgkqSyC_1oH83gg_7_20"/>
      <w:bookmarkStart w:id="860" w:name="Tc_6SmYlxX-WU2qsBnwj0u0yg_7_17"/>
      <w:bookmarkStart w:id="861" w:name="Tc_eXDH9vn2rUuC0m9ULHLHhA_6_26"/>
      <w:bookmarkStart w:id="862" w:name="Tc_HRbJTMTH6kK8lBUuxPSkcg_6_23"/>
      <w:bookmarkStart w:id="863" w:name="Tc_WRHPT9r5UkebbaeaUsZX2Q_6_17"/>
      <w:bookmarkStart w:id="864" w:name="Tc_h92RoH8RcEedrn6U1hVH5g_5_26"/>
      <w:bookmarkStart w:id="865" w:name="Tc_9pmFNfswdUC_Y_O-0NYptA_5_23"/>
      <w:bookmarkStart w:id="866" w:name="Tc_0_RjjEP570CPSaWR9I8Zzw_4_26"/>
      <w:bookmarkStart w:id="867" w:name="Tc_Av1YFoWb4EOaCBYKgRR4bg_3_12"/>
      <w:bookmarkStart w:id="868" w:name="Tc_NLGfhcetekeDJmXJl4chbw_3_7"/>
      <w:bookmarkStart w:id="869" w:name="Tc_D2o18qDyBEqQQSpKYP7kDA_3_2"/>
      <w:bookmarkStart w:id="870" w:name="Tc_Sz7Gc16gOUq1gT-B5Dz1ZA_2_7"/>
      <w:bookmarkStart w:id="871" w:name="Tc_taX9E9fle0Gf9Xidus1Okg_2_2"/>
      <w:bookmarkStart w:id="872" w:name="Tc_JcZhh83JD0O0sr6x-pOJ_w_1_2"/>
      <w:bookmarkStart w:id="873" w:name="_98213c63_72b1_46b5_9b1f_1271bc83fbbb"/>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tbl>
      <w:tblPr>
        <w:tblW w:w="11213" w:type="dxa"/>
        <w:jc w:val="left"/>
        <w:tblInd w:w="0" w:type="dxa"/>
        <w:tblLayout w:type="fixed"/>
        <w:tblCellMar>
          <w:top w:w="0" w:type="dxa"/>
          <w:left w:w="0" w:type="dxa"/>
          <w:bottom w:w="0" w:type="dxa"/>
          <w:right w:w="0" w:type="dxa"/>
        </w:tblCellMar>
      </w:tblPr>
      <w:tblGrid>
        <w:gridCol w:w="931"/>
        <w:gridCol w:w="346"/>
        <w:gridCol w:w="436"/>
        <w:gridCol w:w="346"/>
        <w:gridCol w:w="181"/>
        <w:gridCol w:w="511"/>
        <w:gridCol w:w="346"/>
        <w:gridCol w:w="421"/>
        <w:gridCol w:w="346"/>
        <w:gridCol w:w="181"/>
        <w:gridCol w:w="436"/>
        <w:gridCol w:w="346"/>
        <w:gridCol w:w="511"/>
        <w:gridCol w:w="346"/>
        <w:gridCol w:w="196"/>
        <w:gridCol w:w="375"/>
        <w:gridCol w:w="346"/>
        <w:gridCol w:w="196"/>
        <w:gridCol w:w="555"/>
        <w:gridCol w:w="346"/>
        <w:gridCol w:w="213"/>
        <w:gridCol w:w="658"/>
        <w:gridCol w:w="346"/>
        <w:gridCol w:w="331"/>
        <w:gridCol w:w="690"/>
        <w:gridCol w:w="346"/>
        <w:gridCol w:w="215"/>
        <w:gridCol w:w="71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91185" cy="175260"/>
                      <wp:effectExtent l="0" t="0" r="0" b="0"/>
                      <wp:wrapNone/>
                      <wp:docPr id="64" name="Frame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76860" cy="175260"/>
                      <wp:effectExtent l="0" t="0" r="0" b="0"/>
                      <wp:wrapNone/>
                      <wp:docPr id="66" name="Frame6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4935" cy="175260"/>
                      <wp:effectExtent l="0" t="0" r="0" b="0"/>
                      <wp:wrapNone/>
                      <wp:docPr id="68" name="Frame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24485" cy="175260"/>
                      <wp:effectExtent l="0" t="0" r="0" b="0"/>
                      <wp:wrapNone/>
                      <wp:docPr id="69" name="Frame6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67335" cy="175260"/>
                      <wp:effectExtent l="0" t="0" r="0" b="0"/>
                      <wp:wrapNone/>
                      <wp:docPr id="71" name="Frame7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14935" cy="175260"/>
                      <wp:effectExtent l="0" t="0" r="0" b="0"/>
                      <wp:wrapNone/>
                      <wp:docPr id="73" name="Frame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76860" cy="175260"/>
                      <wp:effectExtent l="0" t="0" r="0" b="0"/>
                      <wp:wrapNone/>
                      <wp:docPr id="74" name="Frame7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24485" cy="175260"/>
                      <wp:effectExtent l="0" t="0" r="0" b="0"/>
                      <wp:wrapNone/>
                      <wp:docPr id="76" name="Frame7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8"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38125" cy="175260"/>
                      <wp:effectExtent l="0" t="0" r="0" b="0"/>
                      <wp:wrapNone/>
                      <wp:docPr id="79" name="Frame7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52425" cy="175260"/>
                      <wp:effectExtent l="0" t="0" r="0" b="0"/>
                      <wp:wrapNone/>
                      <wp:docPr id="82" name="Frame8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5255" cy="175260"/>
                      <wp:effectExtent l="0" t="0" r="0" b="0"/>
                      <wp:wrapNone/>
                      <wp:docPr id="84" name="Frame8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17830" cy="175260"/>
                      <wp:effectExtent l="0" t="0" r="0" b="0"/>
                      <wp:wrapNone/>
                      <wp:docPr id="85" name="Frame8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0185" cy="175260"/>
                      <wp:effectExtent l="0" t="0" r="0" b="0"/>
                      <wp:wrapNone/>
                      <wp:docPr id="87" name="Frame8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38150" cy="175260"/>
                      <wp:effectExtent l="0" t="0" r="0" b="0"/>
                      <wp:wrapNone/>
                      <wp:docPr id="88" name="Frame88"/>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6525" cy="175260"/>
                      <wp:effectExtent l="0" t="0" r="0" b="0"/>
                      <wp:wrapNone/>
                      <wp:docPr id="90" name="Frame9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54660" cy="175260"/>
                      <wp:effectExtent l="0" t="0" r="0" b="0"/>
                      <wp:wrapNone/>
                      <wp:docPr id="91" name="Frame91"/>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36"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three and six months ended June 30, 2025</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A Redeemable Convertible</w:t>
            </w:r>
          </w:p>
        </w:tc>
        <w:tc>
          <w:tcPr>
            <w:tcW w:w="346" w:type="dxa"/>
            <w:tcBorders/>
            <w:vAlign w:val="center"/>
          </w:tcPr>
          <w:p>
            <w:pPr>
              <w:pStyle w:val="TableContents"/>
              <w:bidi w:val="0"/>
              <w:spacing w:before="0" w:after="1"/>
              <w:ind w:left="0" w:right="0" w:hanging="0"/>
              <w:jc w:val="center"/>
              <w:rPr/>
            </w:pPr>
            <w:r>
              <w:rPr/>
              <w:t>​</w:t>
            </w:r>
          </w:p>
        </w:tc>
        <w:tc>
          <w:tcPr>
            <w:tcW w:w="138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B Convertible</w:t>
            </w:r>
          </w:p>
        </w:tc>
        <w:tc>
          <w:tcPr>
            <w:tcW w:w="346" w:type="dxa"/>
            <w:tcBorders/>
            <w:vAlign w:val="center"/>
          </w:tcPr>
          <w:p>
            <w:pPr>
              <w:pStyle w:val="TableContents"/>
              <w:bidi w:val="0"/>
              <w:spacing w:before="0" w:after="1"/>
              <w:ind w:left="0" w:right="0" w:hanging="0"/>
              <w:jc w:val="center"/>
              <w:rPr/>
            </w:pPr>
            <w:r>
              <w:rPr/>
              <w:t>​</w:t>
            </w:r>
          </w:p>
        </w:tc>
        <w:tc>
          <w:tcPr>
            <w:tcW w:w="1428" w:type="dxa"/>
            <w:gridSpan w:val="4"/>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16" w:type="dxa"/>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46" w:type="dxa"/>
            <w:tcBorders/>
            <w:vAlign w:val="center"/>
          </w:tcPr>
          <w:p>
            <w:pPr>
              <w:pStyle w:val="TableContents"/>
              <w:bidi w:val="0"/>
              <w:spacing w:before="0" w:after="1"/>
              <w:ind w:left="0" w:right="0" w:hanging="0"/>
              <w:jc w:val="center"/>
              <w:rPr/>
            </w:pPr>
            <w:r>
              <w:rPr/>
              <w:t>​</w:t>
            </w:r>
          </w:p>
        </w:tc>
        <w:tc>
          <w:tcPr>
            <w:tcW w:w="13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46" w:type="dxa"/>
            <w:tcBorders/>
            <w:vAlign w:val="center"/>
          </w:tcPr>
          <w:p>
            <w:pPr>
              <w:pStyle w:val="TableContents"/>
              <w:bidi w:val="0"/>
              <w:spacing w:before="0" w:after="1"/>
              <w:ind w:left="0" w:right="0" w:hanging="0"/>
              <w:jc w:val="center"/>
              <w:rPr/>
            </w:pPr>
            <w:r>
              <w:rPr/>
              <w:t>​</w:t>
            </w:r>
          </w:p>
        </w:tc>
        <w:tc>
          <w:tcPr>
            <w:tcW w:w="142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and</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Mezzanine</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346" w:type="dxa"/>
            <w:tcBorders/>
            <w:vAlign w:val="center"/>
          </w:tcPr>
          <w:p>
            <w:pPr>
              <w:pStyle w:val="TableContents"/>
              <w:bidi w:val="0"/>
              <w:spacing w:before="0" w:after="1"/>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5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16" w:type="dxa"/>
            <w:tcBorders/>
            <w:vAlign w:val="center"/>
          </w:tcPr>
          <w:p>
            <w:pPr>
              <w:pStyle w:val="TableContents"/>
              <w:bidi w:val="0"/>
              <w:spacing w:before="0" w:after="1"/>
              <w:ind w:left="0" w:right="0" w:hanging="0"/>
              <w:jc w:val="center"/>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January 1, 2025</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14,947</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22,984</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(23,253)</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16,178</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(351)</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righ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(351)</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March 31, 2025</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15,121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22,606</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(22,220)</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17,007</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Class A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righ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A redeemable convertible preferred stock</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(358)</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(358)</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 Class B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righ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 based compensation</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392</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392</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Change in value of interest rate swap </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righ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c>
          <w:tcPr>
            <w:tcW w:w="346" w:type="dxa"/>
            <w:tcBorders/>
            <w:vAlign w:val="center"/>
          </w:tcPr>
          <w:p>
            <w:pPr>
              <w:pStyle w:val="TableContents"/>
              <w:bidi w:val="0"/>
              <w:spacing w:before="0" w:after="1"/>
              <w:ind w:left="0" w:right="0" w:hanging="0"/>
              <w:jc w:val="righ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1,590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15,300</w:t>
            </w:r>
          </w:p>
        </w:tc>
        <w:tc>
          <w:tcPr>
            <w:tcW w:w="346" w:type="dxa"/>
            <w:tcBorders/>
            <w:shd w:fill="CCEEFF" w:val="clear"/>
            <w:vAlign w:val="center"/>
          </w:tcPr>
          <w:p>
            <w:pPr>
              <w:pStyle w:val="TableContents"/>
              <w:bidi w:val="0"/>
              <w:spacing w:before="0" w:after="1"/>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w:t>
            </w:r>
          </w:p>
        </w:tc>
        <w:tc>
          <w:tcPr>
            <w:tcW w:w="346"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1,500</w:t>
            </w:r>
          </w:p>
        </w:tc>
        <w:tc>
          <w:tcPr>
            <w:tcW w:w="346" w:type="dxa"/>
            <w:tcBorders/>
            <w:shd w:fill="CCEEFF" w:val="clear"/>
            <w:vAlign w:val="center"/>
          </w:tcPr>
          <w:p>
            <w:pPr>
              <w:pStyle w:val="TableContents"/>
              <w:bidi w:val="0"/>
              <w:spacing w:before="0" w:after="1"/>
              <w:ind w:left="0" w:right="0" w:hanging="0"/>
              <w:jc w:val="righ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16,711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22,613</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(22,874)</w:t>
            </w:r>
          </w:p>
        </w:tc>
        <w:tc>
          <w:tcPr>
            <w:tcW w:w="346" w:type="dxa"/>
            <w:tcBorders/>
            <w:shd w:fill="CCEEFF" w:val="clear"/>
            <w:vAlign w:val="center"/>
          </w:tcPr>
          <w:p>
            <w:pPr>
              <w:pStyle w:val="TableContents"/>
              <w:bidi w:val="0"/>
              <w:spacing w:before="0" w:after="1"/>
              <w:ind w:left="0" w:right="0" w:hanging="0"/>
              <w:jc w:val="righ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(152)</w:t>
            </w:r>
          </w:p>
        </w:tc>
        <w:tc>
          <w:tcPr>
            <w:tcW w:w="346" w:type="dxa"/>
            <w:tcBorders/>
            <w:shd w:fill="CCEEFF" w:val="clear"/>
            <w:vAlign w:val="center"/>
          </w:tcPr>
          <w:p>
            <w:pPr>
              <w:pStyle w:val="TableContents"/>
              <w:bidi w:val="0"/>
              <w:spacing w:before="0" w:after="1"/>
              <w:ind w:left="0" w:right="0" w:hanging="0"/>
              <w:jc w:val="righ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16"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16,387</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74" w:name="_7734b6b0_95c6_4e76_92c5_c04d42e72b07"/>
      <w:bookmarkEnd w:id="874"/>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875" w:name="STATEMENTSOFCASHFLOWS_853689"/>
      <w:bookmarkEnd w:id="875"/>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876" w:name="Tc_opHZ_tfuJU2IQe-vRU58MA_45_6"/>
      <w:bookmarkStart w:id="877" w:name="Tc_ioYCVSJTWUaJIT1x1FLotg_45_5"/>
      <w:bookmarkStart w:id="878" w:name="Tc_bgykNmS6ckam6mx2UKDg7w_45_2"/>
      <w:bookmarkStart w:id="879" w:name="Tc_GQWV5vCNmECu7mv-5fPyow_45_0"/>
      <w:bookmarkStart w:id="880" w:name="Tc_jwOOlqeoIEOqk4U52BOyQQ_44_0"/>
      <w:bookmarkStart w:id="881" w:name="Tc_9w6j2NivoUib8e7D2hEWsA_42_0"/>
      <w:bookmarkStart w:id="882" w:name="Tc_OL5W80h7uEeZRy4i7moJSA_41_0"/>
      <w:bookmarkStart w:id="883" w:name="Tc_qliZPG0rpkK1kZKU1o1iwA_39_6"/>
      <w:bookmarkStart w:id="884" w:name="Tc_MwYPRt3xD0KkRHXA0dP-Iw_39_5"/>
      <w:bookmarkStart w:id="885" w:name="Tc_YksCmqfRIU-lFTG6dKPRpw_39_2"/>
      <w:bookmarkStart w:id="886" w:name="Tc_2U9nVCqkv0OcMgRsnFK_fw_39_0"/>
      <w:bookmarkStart w:id="887" w:name="Tc_AQZhj97zH0yTtAua05C8oA_38_5"/>
      <w:bookmarkStart w:id="888" w:name="Tc_KBNMiXGwt0yEvVQXuSx4Ew_38_2"/>
      <w:bookmarkStart w:id="889" w:name="Tc_VtealLtOsUa6mAprV2uSrA_38_0"/>
      <w:bookmarkStart w:id="890" w:name="Tc_m-kTSEPiz0-sJbNJMCqIDg_37_0"/>
      <w:bookmarkStart w:id="891" w:name="Tc_lzQW6DvapEGVFid6cIsk4A_35_5"/>
      <w:bookmarkStart w:id="892" w:name="Tc_WOHuf_0YGEa3QIvZ7LON5Q_35_2"/>
      <w:bookmarkStart w:id="893" w:name="Tc_S1C8WEKKw0anbwgmf1Dz1w_35_0"/>
      <w:bookmarkStart w:id="894" w:name="Tc_aercfIHelE6BGRD4s96sjw_33_5"/>
      <w:bookmarkStart w:id="895" w:name="Tc_hwX0CWJPlEidfiNJds7ZUA_33_2"/>
      <w:bookmarkStart w:id="896" w:name="Tc_ynEsc1w16km3oVLchMBBgg_33_0"/>
      <w:bookmarkStart w:id="897" w:name="Tc_1Y7TAOXRk0aMPMnJOyEa1g_31_0"/>
      <w:bookmarkStart w:id="898" w:name="Tc_UmBjwIualUmxUHWnMFyqpA_29_0"/>
      <w:bookmarkStart w:id="899" w:name="Tc_MskleuBb_0Se_-3drP9XwA_28_0"/>
      <w:bookmarkStart w:id="900" w:name="Tc_lVOOXjo0TkibhsGoMKHWZg_27_0"/>
      <w:bookmarkStart w:id="901" w:name="Tc_JtObYirKXUqpOwr7TR5a_w_26_0"/>
      <w:bookmarkStart w:id="902" w:name="Tc_LcxDWaKImkWpnu6jD-xzlA_25_0"/>
      <w:bookmarkStart w:id="903" w:name="Tc_WzL1WJkaHUSzd86Q9E-hAA_23_0"/>
      <w:bookmarkStart w:id="904" w:name="Tc_WfXYh4KaEEa-V5zkXYj_6w_22_0"/>
      <w:bookmarkStart w:id="905" w:name="Tc_qWUwSEdQhE2OH_aOTdq7NA_21_0"/>
      <w:bookmarkStart w:id="906" w:name="Tc_NHRUI7yOl0-plc3vIZGTTA_19_0"/>
      <w:bookmarkStart w:id="907" w:name="Tc_pBXCwawcCEC7r5WXR8HesA_18_0"/>
      <w:bookmarkStart w:id="908" w:name="Tc_JhrsyWJ6BEOUhQ6-Sl0HBQ_17_0"/>
      <w:bookmarkStart w:id="909" w:name="Tc_siT2tchG80OKHJ34K3r-CQ_16_0"/>
      <w:bookmarkStart w:id="910" w:name="Tc_p35uIPAfpU6N8ivyHKyMwg_15_0"/>
      <w:bookmarkStart w:id="911" w:name="Tc_D4-8FP9paU2o0A3kHIPzHQ_14_0"/>
      <w:bookmarkStart w:id="912" w:name="Tc_wDZPt2MO4k6Se1FE7YJ7Lg_13_0"/>
      <w:bookmarkStart w:id="913" w:name="Tc_LvuiPkfpzkyZBXCpClEb7g_12_0"/>
      <w:bookmarkStart w:id="914" w:name="Tc_L1Pybc2YdU63w1vB0jps2Q_11_0"/>
      <w:bookmarkStart w:id="915" w:name="Tc_Aa-6e-sMUk-iC_faEecgNQ_10_0"/>
      <w:bookmarkStart w:id="916" w:name="Tc_mT2fqnIZH0Sv7-XmwaSGdQ_9_0"/>
      <w:bookmarkStart w:id="917" w:name="Tc_ZDBIQJq2dUu7vVDi_NzqhQ_8_0"/>
      <w:bookmarkStart w:id="918" w:name="Tc_VMRWZXlEXE20_3VPpmfCBg_7_0"/>
      <w:bookmarkStart w:id="919" w:name="Tc_owdT2Fk9HkWupQyrSmKhcw_6_0"/>
      <w:bookmarkStart w:id="920" w:name="Tc__LNJ5GT2y0KUBtgnzksEyA_5_0"/>
      <w:bookmarkStart w:id="921" w:name="Tc_giRE2i-QG0a7Ijgj6fHCSA_4_5"/>
      <w:bookmarkStart w:id="922" w:name="Tc_ygtSCLcbBU--L7KNsH7xNw_4_2"/>
      <w:bookmarkStart w:id="923" w:name="Tc_1S1TzHoPY0CbUErjfCKA7g_4_0"/>
      <w:bookmarkStart w:id="924" w:name="Tc_S0gukHGIt0qe6wmZA0ldRQ_3_0"/>
      <w:bookmarkStart w:id="925" w:name="Tc_vbWtE4Qgz0KLLbwGxNpGJw_2_5"/>
      <w:bookmarkStart w:id="926" w:name="Tc__xZv_QrjnkCe-Z_1VGYrxg_2_2"/>
      <w:bookmarkStart w:id="927" w:name="Tc__-Eku1AKDU-rvOSg1sRHPg_1_2"/>
      <w:bookmarkStart w:id="928" w:name="_e43528c8_2b8b_4700_b3f7_aa82619b4e93"/>
      <w:bookmarkStart w:id="929" w:name="Tc_opHZ_tfuJU2IQe-vRU58MA_45_6"/>
      <w:bookmarkStart w:id="930" w:name="Tc_ioYCVSJTWUaJIT1x1FLotg_45_5"/>
      <w:bookmarkStart w:id="931" w:name="Tc_bgykNmS6ckam6mx2UKDg7w_45_2"/>
      <w:bookmarkStart w:id="932" w:name="Tc_GQWV5vCNmECu7mv-5fPyow_45_0"/>
      <w:bookmarkStart w:id="933" w:name="Tc_jwOOlqeoIEOqk4U52BOyQQ_44_0"/>
      <w:bookmarkStart w:id="934" w:name="Tc_9w6j2NivoUib8e7D2hEWsA_42_0"/>
      <w:bookmarkStart w:id="935" w:name="Tc_OL5W80h7uEeZRy4i7moJSA_41_0"/>
      <w:bookmarkStart w:id="936" w:name="Tc_qliZPG0rpkK1kZKU1o1iwA_39_6"/>
      <w:bookmarkStart w:id="937" w:name="Tc_MwYPRt3xD0KkRHXA0dP-Iw_39_5"/>
      <w:bookmarkStart w:id="938" w:name="Tc_YksCmqfRIU-lFTG6dKPRpw_39_2"/>
      <w:bookmarkStart w:id="939" w:name="Tc_2U9nVCqkv0OcMgRsnFK_fw_39_0"/>
      <w:bookmarkStart w:id="940" w:name="Tc_AQZhj97zH0yTtAua05C8oA_38_5"/>
      <w:bookmarkStart w:id="941" w:name="Tc_KBNMiXGwt0yEvVQXuSx4Ew_38_2"/>
      <w:bookmarkStart w:id="942" w:name="Tc_VtealLtOsUa6mAprV2uSrA_38_0"/>
      <w:bookmarkStart w:id="943" w:name="Tc_m-kTSEPiz0-sJbNJMCqIDg_37_0"/>
      <w:bookmarkStart w:id="944" w:name="Tc_lzQW6DvapEGVFid6cIsk4A_35_5"/>
      <w:bookmarkStart w:id="945" w:name="Tc_WOHuf_0YGEa3QIvZ7LON5Q_35_2"/>
      <w:bookmarkStart w:id="946" w:name="Tc_S1C8WEKKw0anbwgmf1Dz1w_35_0"/>
      <w:bookmarkStart w:id="947" w:name="Tc_aercfIHelE6BGRD4s96sjw_33_5"/>
      <w:bookmarkStart w:id="948" w:name="Tc_hwX0CWJPlEidfiNJds7ZUA_33_2"/>
      <w:bookmarkStart w:id="949" w:name="Tc_ynEsc1w16km3oVLchMBBgg_33_0"/>
      <w:bookmarkStart w:id="950" w:name="Tc_1Y7TAOXRk0aMPMnJOyEa1g_31_0"/>
      <w:bookmarkStart w:id="951" w:name="Tc_UmBjwIualUmxUHWnMFyqpA_29_0"/>
      <w:bookmarkStart w:id="952" w:name="Tc_MskleuBb_0Se_-3drP9XwA_28_0"/>
      <w:bookmarkStart w:id="953" w:name="Tc_lVOOXjo0TkibhsGoMKHWZg_27_0"/>
      <w:bookmarkStart w:id="954" w:name="Tc_JtObYirKXUqpOwr7TR5a_w_26_0"/>
      <w:bookmarkStart w:id="955" w:name="Tc_LcxDWaKImkWpnu6jD-xzlA_25_0"/>
      <w:bookmarkStart w:id="956" w:name="Tc_WzL1WJkaHUSzd86Q9E-hAA_23_0"/>
      <w:bookmarkStart w:id="957" w:name="Tc_WfXYh4KaEEa-V5zkXYj_6w_22_0"/>
      <w:bookmarkStart w:id="958" w:name="Tc_qWUwSEdQhE2OH_aOTdq7NA_21_0"/>
      <w:bookmarkStart w:id="959" w:name="Tc_NHRUI7yOl0-plc3vIZGTTA_19_0"/>
      <w:bookmarkStart w:id="960" w:name="Tc_pBXCwawcCEC7r5WXR8HesA_18_0"/>
      <w:bookmarkStart w:id="961" w:name="Tc_JhrsyWJ6BEOUhQ6-Sl0HBQ_17_0"/>
      <w:bookmarkStart w:id="962" w:name="Tc_siT2tchG80OKHJ34K3r-CQ_16_0"/>
      <w:bookmarkStart w:id="963" w:name="Tc_p35uIPAfpU6N8ivyHKyMwg_15_0"/>
      <w:bookmarkStart w:id="964" w:name="Tc_D4-8FP9paU2o0A3kHIPzHQ_14_0"/>
      <w:bookmarkStart w:id="965" w:name="Tc_wDZPt2MO4k6Se1FE7YJ7Lg_13_0"/>
      <w:bookmarkStart w:id="966" w:name="Tc_LvuiPkfpzkyZBXCpClEb7g_12_0"/>
      <w:bookmarkStart w:id="967" w:name="Tc_L1Pybc2YdU63w1vB0jps2Q_11_0"/>
      <w:bookmarkStart w:id="968" w:name="Tc_Aa-6e-sMUk-iC_faEecgNQ_10_0"/>
      <w:bookmarkStart w:id="969" w:name="Tc_mT2fqnIZH0Sv7-XmwaSGdQ_9_0"/>
      <w:bookmarkStart w:id="970" w:name="Tc_ZDBIQJq2dUu7vVDi_NzqhQ_8_0"/>
      <w:bookmarkStart w:id="971" w:name="Tc_VMRWZXlEXE20_3VPpmfCBg_7_0"/>
      <w:bookmarkStart w:id="972" w:name="Tc_owdT2Fk9HkWupQyrSmKhcw_6_0"/>
      <w:bookmarkStart w:id="973" w:name="Tc__LNJ5GT2y0KUBtgnzksEyA_5_0"/>
      <w:bookmarkStart w:id="974" w:name="Tc_giRE2i-QG0a7Ijgj6fHCSA_4_5"/>
      <w:bookmarkStart w:id="975" w:name="Tc_ygtSCLcbBU--L7KNsH7xNw_4_2"/>
      <w:bookmarkStart w:id="976" w:name="Tc_1S1TzHoPY0CbUErjfCKA7g_4_0"/>
      <w:bookmarkStart w:id="977" w:name="Tc_S0gukHGIt0qe6wmZA0ldRQ_3_0"/>
      <w:bookmarkStart w:id="978" w:name="Tc_vbWtE4Qgz0KLLbwGxNpGJw_2_5"/>
      <w:bookmarkStart w:id="979" w:name="Tc__xZv_QrjnkCe-Z_1VGYrxg_2_2"/>
      <w:bookmarkStart w:id="980" w:name="Tc__-Eku1AKDU-rvOSg1sRHPg_1_2"/>
      <w:bookmarkStart w:id="981" w:name="_e43528c8_2b8b_4700_b3f7_aa82619b4e93"/>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tbl>
      <w:tblPr>
        <w:tblW w:w="10205" w:type="dxa"/>
        <w:jc w:val="left"/>
        <w:tblInd w:w="0" w:type="dxa"/>
        <w:tblLayout w:type="fixed"/>
        <w:tblCellMar>
          <w:top w:w="0" w:type="dxa"/>
          <w:left w:w="0" w:type="dxa"/>
          <w:bottom w:w="0" w:type="dxa"/>
          <w:right w:w="0" w:type="dxa"/>
        </w:tblCellMar>
      </w:tblPr>
      <w:tblGrid>
        <w:gridCol w:w="7539"/>
        <w:gridCol w:w="346"/>
        <w:gridCol w:w="226"/>
        <w:gridCol w:w="715"/>
        <w:gridCol w:w="399"/>
        <w:gridCol w:w="226"/>
        <w:gridCol w:w="754"/>
      </w:tblGrid>
      <w:tr>
        <w:trPr/>
        <w:tc>
          <w:tcPr>
            <w:tcW w:w="7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787265" cy="175260"/>
                      <wp:effectExtent l="0" t="0" r="0" b="0"/>
                      <wp:wrapNone/>
                      <wp:docPr id="92" name="Frame92"/>
                      <a:graphic xmlns:a="http://schemas.openxmlformats.org/drawingml/2006/main">
                        <a:graphicData uri="http://schemas.microsoft.com/office/word/2010/wordprocessingShape">
                          <wps:wsp>
                            <wps:cNvSpPr txBox="1"/>
                            <wps:spPr>
                              <a:xfrm>
                                <a:off x="0" y="0"/>
                                <a:ext cx="4787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3510" cy="175260"/>
                      <wp:effectExtent l="0" t="0" r="0" b="0"/>
                      <wp:wrapNone/>
                      <wp:docPr id="94" name="Frame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54025" cy="175260"/>
                      <wp:effectExtent l="0" t="0" r="0" b="0"/>
                      <wp:wrapNone/>
                      <wp:docPr id="95" name="Frame95"/>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53365" cy="175260"/>
                      <wp:effectExtent l="0" t="0" r="0" b="0"/>
                      <wp:wrapNone/>
                      <wp:docPr id="96" name="Frame96"/>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3510" cy="175260"/>
                      <wp:effectExtent l="0" t="0" r="0" b="0"/>
                      <wp:wrapNone/>
                      <wp:docPr id="97" name="Frame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78790" cy="175260"/>
                      <wp:effectExtent l="0" t="0" r="0" b="0"/>
                      <wp:wrapNone/>
                      <wp:docPr id="98" name="Frame98"/>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9" w:type="dxa"/>
            <w:tcBorders/>
            <w:vAlign w:val="center"/>
          </w:tcPr>
          <w:p>
            <w:pPr>
              <w:pStyle w:val="TableContents"/>
              <w:bidi w:val="0"/>
              <w:spacing w:before="0" w:after="1"/>
              <w:ind w:left="0" w:right="0" w:hanging="0"/>
              <w:jc w:val="center"/>
              <w:rPr/>
            </w:pPr>
            <w:r>
              <w:rPr/>
              <w:t>  ​ ​ ​</w:t>
            </w:r>
          </w:p>
        </w:tc>
        <w:tc>
          <w:tcPr>
            <w:tcW w:w="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center"/>
              <w:rPr/>
            </w:pPr>
            <w:r>
              <w:rPr/>
              <w:t>​</w:t>
            </w:r>
          </w:p>
        </w:tc>
        <w:tc>
          <w:tcPr>
            <w:tcW w:w="399"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center"/>
              <w:rPr/>
            </w:pPr>
            <w:r>
              <w:rPr/>
              <w:t>​</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2,238</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Due from clearing broker</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Commissions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receivables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(1,349)</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(979)</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1,746</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Commissions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99"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1,656</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1,116</w: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pPr>
            <w:r>
              <w:rPr/>
              <w:t>  ​</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  ​</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99"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pPr>
            <w:r>
              <w:rPr/>
              <w:t>  ​</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  ​</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Repayments - note payable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(1,015)</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(1,015)</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 Series A -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 Series B - redeemable convertible preferred stock</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99"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(1,437)</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(1,425)</w: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Change in Cash, Cash Equivalents and Restricted Cash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10,716</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8,486</w: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10,909</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8,170</w: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During the Period for:</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right"/>
              <w:rPr/>
            </w:pPr>
            <w:r>
              <w:rPr/>
              <w:t>  ​</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  ​</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963</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w:t>
            </w:r>
          </w:p>
        </w:tc>
        <w:tc>
          <w:tcPr>
            <w:tcW w:w="39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shd w:fill="CCEEFF" w:val="clear"/>
            <w:vAlign w:val="center"/>
          </w:tcPr>
          <w:p>
            <w:pPr>
              <w:pStyle w:val="TableContents"/>
              <w:bidi w:val="0"/>
              <w:spacing w:before="0" w:after="1"/>
              <w:ind w:left="0" w:right="0" w:hanging="0"/>
              <w:jc w:val="right"/>
              <w:rPr/>
            </w:pPr>
            <w:r>
              <w:rPr/>
              <w:t>—</w:t>
            </w:r>
          </w:p>
        </w:tc>
      </w:tr>
      <w:tr>
        <w:trPr/>
        <w:tc>
          <w:tcPr>
            <w:tcW w:w="75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left"/>
              <w:rPr/>
            </w:pPr>
            <w:r>
              <w:rPr/>
              <w:t>​</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 the periods ended June 30, 2026 and 2025, the Company paid in-kind dividends to the Series A Redeemable Convertible Preferred Stockholder in the amount of $370 and $353, respectively.</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r>
      <w:tr>
        <w:trPr/>
        <w:tc>
          <w:tcPr>
            <w:tcW w:w="753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left"/>
              <w:rPr/>
            </w:pPr>
            <w:r>
              <w:rPr/>
              <w:t>​</w:t>
            </w:r>
          </w:p>
        </w:tc>
      </w:tr>
      <w:tr>
        <w:trPr/>
        <w:tc>
          <w:tcPr>
            <w:tcW w:w="753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r>
      <w:tr>
        <w:trPr/>
        <w:tc>
          <w:tcPr>
            <w:tcW w:w="75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 of use asset in exchange for operating lease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c>
          <w:tcPr>
            <w:tcW w:w="39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4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82" w:name="_32fd1ff8_07ea_4e80_bd16_6e125007606f"/>
      <w:bookmarkEnd w:id="982"/>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983" w:name="NOTESTOUNAUDITEDCONDENSEDCONSOLIDATEDFIN"/>
      <w:bookmarkEnd w:id="983"/>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June 30, 2026</w:t>
      </w:r>
    </w:p>
    <w:tbl>
      <w:tblPr>
        <w:tblW w:w="7622" w:type="dxa"/>
        <w:jc w:val="left"/>
        <w:tblInd w:w="0" w:type="dxa"/>
        <w:tblLayout w:type="fixed"/>
        <w:tblCellMar>
          <w:top w:w="0" w:type="dxa"/>
          <w:left w:w="0" w:type="dxa"/>
          <w:bottom w:w="0" w:type="dxa"/>
          <w:right w:w="0" w:type="dxa"/>
        </w:tblCellMar>
      </w:tblPr>
      <w:tblGrid>
        <w:gridCol w:w="271"/>
        <w:gridCol w:w="7351"/>
      </w:tblGrid>
      <w:tr>
        <w:trPr/>
        <w:tc>
          <w:tcPr>
            <w:tcW w:w="27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1.</w:t>
            </w:r>
          </w:p>
        </w:tc>
        <w:tc>
          <w:tcPr>
            <w:tcW w:w="7351" w:type="dxa"/>
            <w:tcBorders/>
            <w:vAlign w:val="center"/>
          </w:tcPr>
          <w:p>
            <w:pPr>
              <w:pStyle w:val="TableContents"/>
              <w:bidi w:val="0"/>
              <w:spacing w:before="0" w:after="180"/>
              <w:jc w:val="left"/>
              <w:rPr>
                <w:rFonts w:ascii="Times New Roman;Times;serif" w:hAnsi="Times New Roman;Times;serif"/>
                <w:b/>
                <w:sz w:val="20"/>
              </w:rPr>
            </w:pPr>
            <w:r>
              <w:rPr>
                <w:rFonts w:ascii="Times New Roman;Times;serif" w:hAnsi="Times New Roman;Times;serif"/>
                <w:b/>
                <w:sz w:val="20"/>
              </w:rPr>
              <w:t>ORGANIZATION, DESCRIPTION OF BUSINESS AND BASIS OF PRESENTATION</w:t>
            </w:r>
          </w:p>
        </w:tc>
      </w:tr>
    </w:tbl>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Binah Capital Group, Inc. (“Binah Capital”, or the “Company,” representing the consolidated group), is a Delaware corporation, formed on June 27, 2022 that serves as a holding company for its wholly-owned subsidiaries operating in the retail wealth management business.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Binah Capital through its wholly-owned subsidiary Wentworth Management Services LLC (dba, Binah Management Services, “BMS”) operates multiple businesses in the financial services industry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Holdings, LLC (“PKSH”) maintains offices in Albany, New York, and branch offices throughout the United States of America, and includes the following entities (collectively, the “PKSH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Purshe Kaplan Sterling Investments, Inc. (“PKSI”), incorporated in the State of New York, is a broker-dealer registered with the Securities and Exchange Commission (“SEC”) and is a member of the Financial Industry Regulatory Authority (“FINRA”) and the Securities Investors Protection Corporation (“SIPC”).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Advisory Services, LLC (“PKSA”), a New York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Financial Services, Inc. (dba, Binah Capital Insurance, “PKSF” or “BCI”), incorporated in the State of New York,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Indemnity Company, Inc. (“Repco”), incorporated in the British Virgin Islands, holds a general business insurance license for the purpose of providing professional liability insurance coverage for affiliated entities under BMS.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maintains offices and branch offices throughout the United States of America and includes the following entities (collectively, the “Cabot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(“CLS”), a Delaware Limited Liability Company, is a broker-dealer registered with the SEC and is a member of FINRA and SIPC.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 Wealth Management, LLC (“CLWM”), a Virginia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Wentworth Financial Partners LLC ( dba, Binah Financial Partners “WFP” or “BFP”) (f/k/a CL General Agency), a Delaware limited liability company,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Securities Inc. (“PKSS”, f/k/a as Michigan Securities, Inc., d/b/a Broadstone Securities, Inc.) maintains offices in Albany, New York and includes the following entities (collectively, the “PKSS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PKSS, incorporated in the State of Michigan, is a financial services firm, and is a broker-dealer registered with the SEC and is a member of FINRA.</w:t>
            </w:r>
          </w:p>
        </w:tc>
      </w:tr>
    </w:tbl>
    <w:tbl>
      <w:tblPr>
        <w:tblW w:w="8631" w:type="dxa"/>
        <w:jc w:val="left"/>
        <w:tblInd w:w="0" w:type="dxa"/>
        <w:tblLayout w:type="fixed"/>
        <w:tblCellMar>
          <w:top w:w="28" w:type="dxa"/>
          <w:left w:w="28" w:type="dxa"/>
          <w:bottom w:w="28" w:type="dxa"/>
          <w:right w:w="28" w:type="dxa"/>
        </w:tblCellMar>
      </w:tblPr>
      <w:tblGrid>
        <w:gridCol w:w="124"/>
        <w:gridCol w:w="22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Audit Agency, Inc. (“IAA”), incorporated in the State of Michigan, is an insurance agency.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current period, the Company entered into a Unit Purchase Agreement whereby the Company obtained a sixty percent (60%) controlling interest in World Fund Manager, LLC. World Fund Manager, LLC, a Delaware limited liability company, serves as the Manager of Midway Venture Partners, LLC (“MVP”). MVP is a fund whose primary objective is to make pre-IPO investments or growth equity investments, directly or indirectly, in well-positioned specific developmental-stage or later-stage private companies.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12" w:type="dxa"/>
        <w:jc w:val="left"/>
        <w:tblInd w:w="0" w:type="dxa"/>
        <w:tblLayout w:type="fixed"/>
        <w:tblCellMar>
          <w:top w:w="0" w:type="dxa"/>
          <w:left w:w="0" w:type="dxa"/>
          <w:bottom w:w="0" w:type="dxa"/>
          <w:right w:w="0" w:type="dxa"/>
        </w:tblCellMar>
      </w:tblPr>
      <w:tblGrid>
        <w:gridCol w:w="271"/>
        <w:gridCol w:w="834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34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ORGANIZATION, DESCRIPTION OF BUSINESS AND BASIS OF PRESENTATION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Unaudited Interim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condensed consolidated financial statements (“condensed consolidated financial statements”) are prepared in accordance with accounting principles generally accepted in the United States of America (“GAAP”) and the rules and regulations of the SEC. The unaudited condensed consolidated financial statements have been prepared assuming that the Company will continue as a going concern.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condensed consolidated financial statements should be read in conjunction with the audited consolidated financial statements and accompanying notes for the fiscal year ended December 31, 2025. The unaudited condensed consolidated interim financial statements do not include all the information and footnotes required by GAAP for complete financial statements. The results of operations for the three and six months ended June 30, 2026, are not necessarily indicative of the results to be expected for the entire year ending December 31, 2026. The accompanying unaudited condensed consolidated interim financial statements reflect all adjustments, consisting of normal recurring adjustments, that are, in the opinion of management, necessary to a fair statement of the results for the interim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Binah Capital and its majority and wholly owned subsidiaries. Significant inter-company transactions and balances have been eliminated in consolidation.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has determined that the Company operates in one segment, given the common nature of its operations, products and services, production and distribution process and regulatory environment. For additional information, see Note 17 -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02" w:type="dxa"/>
        <w:jc w:val="left"/>
        <w:tblInd w:w="0" w:type="dxa"/>
        <w:tblLayout w:type="fixed"/>
        <w:tblCellMar>
          <w:top w:w="0" w:type="dxa"/>
          <w:left w:w="0" w:type="dxa"/>
          <w:bottom w:w="0" w:type="dxa"/>
          <w:right w:w="0" w:type="dxa"/>
        </w:tblCellMar>
      </w:tblPr>
      <w:tblGrid>
        <w:gridCol w:w="271"/>
        <w:gridCol w:w="513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51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 and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from those estimates. Significant estimates include the valuation and impairments of intangible assets and deferred income taxes, allowance for credit losses, and contingencies.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Revenues from contracts with customers are recognized when control of the promised services is transferred to customers, in an amount that reflects the consideration the Company expects to be entitled to in exchange for those services. For additional information see Note 3 - </w:t>
      </w:r>
      <w:r>
        <w:rPr>
          <w:rFonts w:ascii="Times New Roman;Times;serif" w:hAnsi="Times New Roman;Times;serif"/>
          <w:i/>
          <w:sz w:val="20"/>
        </w:rPr>
        <w:t>Revenues From Contracts with Customers.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employees, officers and directors participate in the Company’s long-term incentive plan that provide for granting stock options, restricted stock awards, and restricted stock units. Stock options and restricted stock units generally vest in equal increments over a three-year period and expire on the tenth anniversary following the date of grant. Restricted stock awards generally vest upon grant or up to a three-year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share-based compensation for equity awards granted to employees, officers and directors as compensation and benefits expense on the consolidated statements of operations. The fair value of restricted stock awards and restricted stock units is equal to the closing price of the Company’s stock on the date of grant. Stock options are generally granted at the market price at the date of the grant, with vesting based on three years of continuous service. The fair value of the options is estimated using the Black-Sholes model. Share-based compensation is recognized over the requisite service period of the individual awards, which generally equals the vesting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makes assumptions regarding the number of restricted stock awards and restricted stock units that will be forfeited. The forfeiture assumption is ultimately adjusted to the actual forfeiture rate. As a result, changes in the forfeiture assumptions do not impact the total amount of expense ultimately recognized over the service period. Rather, different forfeiture assumptions would only impact the timing of expense recognition over the service period. See Note 9 - </w:t>
      </w:r>
      <w:r>
        <w:rPr>
          <w:rFonts w:ascii="Times New Roman;Times;serif" w:hAnsi="Times New Roman;Times;serif"/>
          <w:i/>
          <w:sz w:val="20"/>
        </w:rPr>
        <w:t>Share-Based Compensation</w:t>
      </w:r>
      <w:r>
        <w:rPr>
          <w:rFonts w:ascii="Times New Roman;Times;serif" w:hAnsi="Times New Roman;Times;serif"/>
          <w:sz w:val="20"/>
        </w:rPr>
        <w:t xml:space="preserve"> for additional information regarding share-based compensation for equity awards granted.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Cash Equivalents and 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consist primarily of cash on deposit and money market funds, all of which have original maturities of three months or 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represents cash held by the Company’s lender related to its credit facility. As of June 30, 2026 and December 31, 2025, restricted cash amounted to $0.5 million and $1.0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regularly maintains cash, cash equivalents and restricted cash that exceed Federal Deposit Insurance Corporation limits. The Company has not experienced any losses and does not believe it is exposed to any significant credit risk from cash.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Receivables represent amounts due to the Company from its clearing brokers, clients, financial institutions and others. Receivables consists of unconditional amounts due and are reported at amortized costs. All receivables are uncollateralized.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92" w:type="dxa"/>
        <w:jc w:val="left"/>
        <w:tblInd w:w="0" w:type="dxa"/>
        <w:tblLayout w:type="fixed"/>
        <w:tblCellMar>
          <w:top w:w="0" w:type="dxa"/>
          <w:left w:w="0" w:type="dxa"/>
          <w:bottom w:w="0" w:type="dxa"/>
          <w:right w:w="0" w:type="dxa"/>
        </w:tblCellMar>
      </w:tblPr>
      <w:tblGrid>
        <w:gridCol w:w="271"/>
        <w:gridCol w:w="612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612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Financial Instruments – Credit Losses</w:t>
      </w:r>
      <w:r>
        <w:rPr>
          <w:rFonts w:ascii="Times New Roman;Times;serif" w:hAnsi="Times New Roman;Times;serif"/>
          <w:i/>
          <w:sz w:val="20"/>
        </w:rPr>
        <w:t>.</w:t>
      </w:r>
      <w:r>
        <w:rPr>
          <w:rFonts w:ascii="Times New Roman;Times;serif" w:hAnsi="Times New Roman;Times;serif"/>
          <w:sz w:val="20"/>
        </w:rPr>
        <w:t xml:space="preserve"> The Company accounts for estimated credit losses on financial assets measured at an amortized cost basis and certain off-balance sheet credit exposures in accordance with Financial Accounting Standards Board (“FASB”) Accounting Standards Codification (“ASC”) 326-20, </w:t>
      </w:r>
      <w:r>
        <w:rPr>
          <w:rFonts w:ascii="Times New Roman;Times;serif" w:hAnsi="Times New Roman;Times;serif"/>
          <w:i/>
          <w:sz w:val="20"/>
        </w:rPr>
        <w:t>Financial Instruments-Credit Losses</w:t>
      </w:r>
      <w:r>
        <w:rPr>
          <w:rFonts w:ascii="Times New Roman;Times;serif" w:hAnsi="Times New Roman;Times;serif"/>
          <w:sz w:val="20"/>
        </w:rPr>
        <w:t>. FASB ASC 326-20 requires the Company to estimate expected credit losses over the life of its financial assets and certain off-balance sheet exposures as of the reporting date based on relevant information about past events, current conditions, and reasonable and supportable forecasts. The Company records the estimate of expected credit losses as an allowance for credit losses. For financial assets measured at an amortized cost basis the allowance for credit losses is reported as a valuation account on the statement of financial condition that adjusts the asset’s amortized cost basis. Changes in the allowance for credit losses are reported in credit loss expense, if applicable. Management believes its risk of loss on currently recorded receivables is minimal and accordingly an allowance for credit losses has been recorded as of June 30, 2026, December 31, 2025, and January 1, 2025 in the amount of $0.7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Goodwill is tested annually, as of December 31</w:t>
      </w:r>
      <w:r>
        <w:rPr>
          <w:rFonts w:ascii="Times New Roman;Times;serif" w:hAnsi="Times New Roman;Times;serif"/>
          <w:sz w:val="15"/>
        </w:rPr>
        <w:t>st</w:t>
      </w:r>
      <w:r>
        <w:rPr>
          <w:rFonts w:ascii="Times New Roman;Times;serif" w:hAnsi="Times New Roman;Times;serif"/>
          <w:sz w:val="20"/>
        </w:rPr>
        <w:t xml:space="preserve"> of each year, for impairment or if certain events occur indicating that the carrying amounts may be impaired. If a qualitative assessment is used and the Company determines that the fair value of a reporting unit is more likely than not (i.e., a likelihood of more than 50%) less than its carrying amount, a quantitative impairment test will be performed. An impairment loss will be recognized if a reporting unit’s carrying amount exceeds its fair value, to the extent that it does not exceed the total carrying amount of goodwill. No impairment of goodwill was recognized for the three and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impairment of intangible assets recognized for the three and six months ended June 30, 2026 and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in accordance with FASB ASC 740. Income taxes are accounted for under an asset and liability approach. This process involves calculating the temporary and permanent differences between the carrying amounts of the assets and liabilities for financial reporting purposes and the amounts used for income tax purposes. The temporary differences result in deferred tax assets and liabilities, which are recorded on the consolidated balance sheet in accordance with ASC 740, which established financial accounting and reporting standards for the effects of income taxes. Deferred tax assets and liabilities are measured using enacted tax rates expected to apply to taxable income in the years in which those temporary differences are expected to be recovered or settled. The Company periodically evaluates deferred tax assets and net operating loss carryforwards to determine their recoverability based primarily on the Company’s ability to generate future taxable income. A valuation allowance may be established to reduce deferred tax assets, if it is more likely than not that all, or some portion, of such deferred tax assets will not be realized. Changes in the valuation allowance in a period are recorded through the income tax provision in the condensed consolidated statements of operations and comprehensive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740-10 clarifies the accounting for uncertainty in income taxes recognized in an entity’s financial statements and prescribes a recognition threshold and measurement attributes for financial statement disclosure of tax positions taken or expected to be taken on an income tax return. Under ASC 740-10, the impact of an uncertain tax position on the income tax return must be recognized at the largest amount that is more-likely-than-not to be sustained upon audit by the relevant taxing authority. An uncertain tax position will not be recognized if it has less than a 50% likelihood of being sustained. Additionally, ASC 740-10 provides guidance on derecognition, classification, interest and penalties, accounting in interim periods, disclosure, and transition.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92" w:type="dxa"/>
        <w:jc w:val="left"/>
        <w:tblInd w:w="0" w:type="dxa"/>
        <w:tblLayout w:type="fixed"/>
        <w:tblCellMar>
          <w:top w:w="0" w:type="dxa"/>
          <w:left w:w="0" w:type="dxa"/>
          <w:bottom w:w="0" w:type="dxa"/>
          <w:right w:w="0" w:type="dxa"/>
        </w:tblCellMar>
      </w:tblPr>
      <w:tblGrid>
        <w:gridCol w:w="271"/>
        <w:gridCol w:w="612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61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year ending December 31, 2025, Binah Capital has elected to file a consolidated tax return which will include all subsidiaries including Binah Capital Corp., BMS, the PKSH Entities, the Cabot Entities, the PKSS Entities and WEG. Therefore, these consolidated financial statements include an income tax provision for all the taxable entities. Deferred tax assets and liabilities are recognized for the future tax consequences attributable to differences between the financial statement carrying amount of existing assets and liabilities and their respective tax bases and net operating loss carryforwards.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Income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of common stock is computed by dividing net income attributable to the Company by the weighted-average number of shares of Class A common stock outstanding during the same period. Diluted net income per share of common stock is computed by dividing net income attributable to the Company by the weighted-average number of shares of common stock outstanding adjusted to give effect to potentially dilutive securities. Potential shares of common stock consist of incremental shares issuable upon the assumed exercise of stock options and warrants and conversion of the Company’s preferred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derivative instruments to manage its exposures to hedge exposures to cash flow risks. The Company does not hold or issue financial instruments for speculative or trading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issued and has outstanding warrants. The Company evaluates the warrants, to determine if such instruments should be considered stock-based compensation, pursuant to ASC Topic 718, and if not in the scope of ASC 718, if such instruments are derivatives or contain features that qualify as embedded derivatives, pursuant to ASC Topic 480 and ASC Topic 815. The determination of whether the instrument should be classified as stock-based compensation or a derivative instrument, including whether such instruments should be recorded as liabilities or as equity, is re-assessed at the end of each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Warrants issued to non-employees (the “Non-employee Warrants”) are not classified as stock-based compensation as there is no condition of employment such that the granting of the shares does not represent compensation. The Non-employee Warrants are classified as derivative liabilities under ASC Topic 480 or ASC Topic 815. Warrants issued to non-employees are measured at fair value on a recurring basis, using the market approach based upon the quoted market price of Binah Capital Group, Inc.’s warrants at the end of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determination of these liability amounts requires significant judgment on the part of management. See Note 13 -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Accounting Standards Update (“ASU”) 2024-03, </w:t>
      </w:r>
      <w:r>
        <w:rPr>
          <w:rFonts w:ascii="Times New Roman;Times;serif" w:hAnsi="Times New Roman;Times;serif"/>
          <w:i/>
          <w:sz w:val="20"/>
        </w:rPr>
        <w:t>Income Statement—Reporting Comprehensive Income—Expense Disaggregation Disclosures (Subtopic 220-40)</w:t>
      </w:r>
      <w:r>
        <w:rPr>
          <w:rFonts w:ascii="Times New Roman;Times;serif" w:hAnsi="Times New Roman;Times;serif"/>
          <w:sz w:val="20"/>
        </w:rPr>
        <w:t xml:space="preserve">: </w:t>
      </w:r>
      <w:r>
        <w:rPr>
          <w:rFonts w:ascii="Times New Roman;Times;serif" w:hAnsi="Times New Roman;Times;serif"/>
          <w:i/>
          <w:sz w:val="20"/>
        </w:rPr>
        <w:t>Disaggregation of Income Statement Expenses</w:t>
      </w:r>
      <w:r>
        <w:rPr>
          <w:rFonts w:ascii="Times New Roman;Times;serif" w:hAnsi="Times New Roman;Times;serif"/>
          <w:sz w:val="20"/>
        </w:rPr>
        <w:t>, which requires public business entities to disclose, in interim and annual reporting periods, additional information 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92" w:type="dxa"/>
        <w:jc w:val="left"/>
        <w:tblInd w:w="0" w:type="dxa"/>
        <w:tblLayout w:type="fixed"/>
        <w:tblCellMar>
          <w:top w:w="0" w:type="dxa"/>
          <w:left w:w="0" w:type="dxa"/>
          <w:bottom w:w="0" w:type="dxa"/>
          <w:right w:w="0" w:type="dxa"/>
        </w:tblCellMar>
      </w:tblPr>
      <w:tblGrid>
        <w:gridCol w:w="271"/>
        <w:gridCol w:w="612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61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new accounting pronouncements adopted during the three and six months ended June 30, 2026 that materially impacted the Company’s condensed consolidated financial statements and related disclosures.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prior year amounts have been reclassified to conform to the current period presentation. Such reclassifications had no impact on previously reported net income or stockholders’ equity.</w:t>
      </w:r>
    </w:p>
    <w:p>
      <w:pPr>
        <w:pStyle w:val="TextBody"/>
        <w:bidi w:val="0"/>
        <w:spacing w:before="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271"/>
        <w:gridCol w:w="49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49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REVENUES FROM CONTRACTS WITH CUSTOMERS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and risk before the good or service is transferred and discretion in establishing the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the principal for commission revenues, as it is responsible for the execution of the clients’ purchases and sales and maintains relationships with the product sponsors. Advisors assist the Company in performing its obligations. Accordingly, total commission revenues are reported on a gross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two types of commission revenues: sales-based commissions that are recognized at the point of sale on the trade date and trailing commissions that are recognized over time as earned. Sales-based commission revenues vary by investment product and are based on a percentage of an investment product’s current market value at the time of purchase. Trailing commission revenues are generally based on a percentage of the current market value of clients’ investment holdings in trail-eligible assets, and are recognized over the period during which services, such as ongoing support, are performed. As trailing commission revenues are based on the market value of clients’ investment holdings, the consideration is variable, and an estimate of the variable consideration is constrained due to dependence on unpredictable market impacts. The constraint is removed once the value of the clients’ investment holdings can be determined.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This series of performance obligations transfers control of the services to the client over time as the services are performed. These revenues are recognized ratably over time to match the continued delivery of the performance obligations to the client over the life of the contract. The advisory revenues generated from the Company’s corporate advisory platform are based on a percentage of the market value of the eligible assets in the clients’ advisory accounts. As such, the consideration for these revenues is variable and an estimate of the variable consideration is constrained due to dependence on unpredictable market impacts on client portfolio values. The constraint is removed once the value of the clients’ investment holdings can be determined.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84" w:name="Tc_KEkhL0Vb-0GVkGe1-vm8Nw_9_11"/>
      <w:bookmarkStart w:id="985" w:name="Tc_Wxpp-2fd6E6yVb6Ybe8okg_9_8"/>
      <w:bookmarkStart w:id="986" w:name="Tc_wsA0BT79-kmossrQdwR8kQ_9_5"/>
      <w:bookmarkStart w:id="987" w:name="Tc_c01bOaOS30WzhxQt1w6cUg_9_2"/>
      <w:bookmarkStart w:id="988" w:name="Tc_6kTwMioFqU-HlYXA9EZY1g_9_0"/>
      <w:bookmarkStart w:id="989" w:name="Tc_UPVNKt0KFk-YLt0gTiCD9A_8_0"/>
      <w:bookmarkStart w:id="990" w:name="Tc_ugB8PxMmt0WnoP94qm-XlQ_7_0"/>
      <w:bookmarkStart w:id="991" w:name="Tc_I_sCkJkYzUuR0FJQmClbLA_6_0"/>
      <w:bookmarkStart w:id="992" w:name="Tc_2KalGGJM0kWFZblTrLobzw_5_0"/>
      <w:bookmarkStart w:id="993" w:name="Tc_BZjjWpmO4kG5E6wO0XoNig_4_11"/>
      <w:bookmarkStart w:id="994" w:name="Tc_M1lU9-K7CECxOb8mSdDQzA_4_8"/>
      <w:bookmarkStart w:id="995" w:name="Tc_2bze2JaoVUmkrhfjdwDZew_4_5"/>
      <w:bookmarkStart w:id="996" w:name="Tc_BU-8w25WVEOIlZNsnTOrTg_4_2"/>
      <w:bookmarkStart w:id="997" w:name="Tc_uvB19lDcoEqTDQTMdwASDw_4_0"/>
      <w:bookmarkStart w:id="998" w:name="Tc_XM8FzVLcOkGuEMt440LprA_3_11"/>
      <w:bookmarkStart w:id="999" w:name="Tc_M77C06rYAESMXC5CzdBB4g_3_8"/>
      <w:bookmarkStart w:id="1000" w:name="Tc_aqkoFWYT90KTqU0FvK0chw_3_5"/>
      <w:bookmarkStart w:id="1001" w:name="Tc_1K17CWCEwUyQVtfstHZHjg_3_2"/>
      <w:bookmarkStart w:id="1002" w:name="Tc_N3li9UHqHEW3Y7VmbzREnQ_3_0"/>
      <w:bookmarkStart w:id="1003" w:name="Tc_EaKWc5EGKUuM6XhCPJ7ZWA_2_8"/>
      <w:bookmarkStart w:id="1004" w:name="Tc_M5Z39dIsc029hT45oZE9tw_2_2"/>
      <w:bookmarkStart w:id="1005" w:name="Tc_eePR7EP3_0-s6TOk7xN4Kg_1_8"/>
      <w:bookmarkStart w:id="1006" w:name="Tc_PqjTDH6mu02m2khEPwpSVw_1_2"/>
      <w:bookmarkStart w:id="1007" w:name="_76b4bed7_87c1_42cb_a3f8_7127a688748c"/>
      <w:bookmarkStart w:id="1008" w:name="Tc_E4lvZZWaGEC-J8d_5D-8WQ_8_11"/>
      <w:bookmarkStart w:id="1009" w:name="Tc_l0EP2-k3P0KTcHiM2EG5eQ_8_8"/>
      <w:bookmarkStart w:id="1010" w:name="Tc_OHEm_c8QnEKt1ddTiGu5GA_8_5"/>
      <w:bookmarkStart w:id="1011" w:name="Tc_i8ntpJ2C6USte5DpQKaoxg_8_2"/>
      <w:bookmarkStart w:id="1012" w:name="Tc_ShBnZyvpZUilUXzGXHacrw_8_0"/>
      <w:bookmarkStart w:id="1013" w:name="Tc_uTgCe0YRBUSZbQLzZmngmg_7_0"/>
      <w:bookmarkStart w:id="1014" w:name="Tc__1rwzUyF4kaYyk8VqvUVAg_6_0"/>
      <w:bookmarkStart w:id="1015" w:name="Tc_HJgQM9wME0WRvaBmBGl_hw_5_0"/>
      <w:bookmarkStart w:id="1016" w:name="Tc_lCIH6JpWz0qobEtbumtmug_4_11"/>
      <w:bookmarkStart w:id="1017" w:name="Tc_PCUTyRiqD0WERqiO8xzXVg_4_8"/>
      <w:bookmarkStart w:id="1018" w:name="Tc_MiwZq5RXXkSW5eh0bObEUQ_4_5"/>
      <w:bookmarkStart w:id="1019" w:name="Tc_Vk63cxMtcUmp1wZn5MGPOg_4_2"/>
      <w:bookmarkStart w:id="1020" w:name="Tc_Sdd8low-80OtGwMJ2sC9Ig_4_0"/>
      <w:bookmarkStart w:id="1021" w:name="Tc_xc63KBjVKUqHSgucwMUyUg_3_11"/>
      <w:bookmarkStart w:id="1022" w:name="Tc_txnvzHTNJkWCjrR7gLvF6g_3_8"/>
      <w:bookmarkStart w:id="1023" w:name="Tc_HN9vqTofNkOaP1VM4IAV0Q_3_5"/>
      <w:bookmarkStart w:id="1024" w:name="Tc_VvGMDRHxOEWPZF1jSTfCcQ_3_2"/>
      <w:bookmarkStart w:id="1025" w:name="Tc_aS_8x6tt002zu--U43LroA_3_0"/>
      <w:bookmarkStart w:id="1026" w:name="Tc_9TkBEalXzEuZR327zaUzOw_2_8"/>
      <w:bookmarkStart w:id="1027" w:name="Tc_ev1f1jGUhkey8uxNb9iixA_2_2"/>
      <w:bookmarkStart w:id="1028" w:name="Tc_2rWW4QwwGEKHonemm-sbxA_1_8"/>
      <w:bookmarkStart w:id="1029" w:name="Tc_0bD_O6_zvUe54EVg3U9YeQ_1_2"/>
      <w:bookmarkStart w:id="1030" w:name="_ddb38937_c7cc_42c8_81a0_1a495f5d5d19"/>
      <w:bookmarkStart w:id="1031" w:name="Tc_WrIGytcdIEeKi2VQBv8Thg_9_11"/>
      <w:bookmarkStart w:id="1032" w:name="Tc_wXyTIeiJikKmrTO0ywrXcA_9_8"/>
      <w:bookmarkStart w:id="1033" w:name="Tc_pooViuOo30i5EhpNO3EtuQ_9_5"/>
      <w:bookmarkStart w:id="1034" w:name="Tc_xg41WpdMZUi_IpNMpHSyOw_9_2"/>
      <w:bookmarkStart w:id="1035" w:name="Tc_SxmKOI4UdE217JPLZpiNRg_9_0"/>
      <w:bookmarkStart w:id="1036" w:name="Tc_7G9XiBcTY0CKQfN0dXSnEQ_8_0"/>
      <w:bookmarkStart w:id="1037" w:name="Tc_mGXAzjN8NEOSd5Xe7Jvfdg_7_0"/>
      <w:bookmarkStart w:id="1038" w:name="Tc_DPZEClHNY0qnbL9UyHz4Cw_6_0"/>
      <w:bookmarkStart w:id="1039" w:name="Tc_b7rsSTB2SUKBVczoQm6gnQ_5_0"/>
      <w:bookmarkStart w:id="1040" w:name="Tc_XZRuErCQY0SkcBoTqhlrSA_4_11"/>
      <w:bookmarkStart w:id="1041" w:name="Tc_bvEbkSW0MUeOQY1G3H6paw_4_8"/>
      <w:bookmarkStart w:id="1042" w:name="Tc_L1rhTGsCukaHXtHB1P31cg_4_5"/>
      <w:bookmarkStart w:id="1043" w:name="Tc_a1nTm8_FrkievYAI6gW_Kg_4_2"/>
      <w:bookmarkStart w:id="1044" w:name="Tc_fC1Slcbn1Uevnb2evreK2g_4_0"/>
      <w:bookmarkStart w:id="1045" w:name="Tc_CJlH1raX_kmGhTGh3hbhmg_3_11"/>
      <w:bookmarkStart w:id="1046" w:name="Tc_50MJBI5cDUmkWq6QS5Kz1Q_3_8"/>
      <w:bookmarkStart w:id="1047" w:name="Tc_H5KK43iF30Sn9u7kis9noQ_3_5"/>
      <w:bookmarkStart w:id="1048" w:name="Tc_LF75pKBn80utvFwdcZc6qA_3_2"/>
      <w:bookmarkStart w:id="1049" w:name="Tc_PiyAH5ATQEiw80ZKev4umw_3_0"/>
      <w:bookmarkStart w:id="1050" w:name="Tc_Utx6v8GWsE2_86ENeeJlyA_2_8"/>
      <w:bookmarkStart w:id="1051" w:name="Tc_bF9eWz_eUUKdJSXrRc3pPA_2_2"/>
      <w:bookmarkStart w:id="1052" w:name="Tc_lTGs1dFWqE263eb-db5qSQ_1_8"/>
      <w:bookmarkStart w:id="1053" w:name="Tc_IvIM2qpn9EWR_du0y4rWxg_1_2"/>
      <w:bookmarkStart w:id="1054" w:name="_c9d3fc53_74b9_4df5_ab69_710a41fcf1f1"/>
      <w:bookmarkStart w:id="1055" w:name="Tc_KEkhL0Vb-0GVkGe1-vm8Nw_9_11"/>
      <w:bookmarkStart w:id="1056" w:name="Tc_Wxpp-2fd6E6yVb6Ybe8okg_9_8"/>
      <w:bookmarkStart w:id="1057" w:name="Tc_wsA0BT79-kmossrQdwR8kQ_9_5"/>
      <w:bookmarkStart w:id="1058" w:name="Tc_c01bOaOS30WzhxQt1w6cUg_9_2"/>
      <w:bookmarkStart w:id="1059" w:name="Tc_6kTwMioFqU-HlYXA9EZY1g_9_0"/>
      <w:bookmarkStart w:id="1060" w:name="Tc_UPVNKt0KFk-YLt0gTiCD9A_8_0"/>
      <w:bookmarkStart w:id="1061" w:name="Tc_ugB8PxMmt0WnoP94qm-XlQ_7_0"/>
      <w:bookmarkStart w:id="1062" w:name="Tc_I_sCkJkYzUuR0FJQmClbLA_6_0"/>
      <w:bookmarkStart w:id="1063" w:name="Tc_2KalGGJM0kWFZblTrLobzw_5_0"/>
      <w:bookmarkStart w:id="1064" w:name="Tc_BZjjWpmO4kG5E6wO0XoNig_4_11"/>
      <w:bookmarkStart w:id="1065" w:name="Tc_M1lU9-K7CECxOb8mSdDQzA_4_8"/>
      <w:bookmarkStart w:id="1066" w:name="Tc_2bze2JaoVUmkrhfjdwDZew_4_5"/>
      <w:bookmarkStart w:id="1067" w:name="Tc_BU-8w25WVEOIlZNsnTOrTg_4_2"/>
      <w:bookmarkStart w:id="1068" w:name="Tc_uvB19lDcoEqTDQTMdwASDw_4_0"/>
      <w:bookmarkStart w:id="1069" w:name="Tc_XM8FzVLcOkGuEMt440LprA_3_11"/>
      <w:bookmarkStart w:id="1070" w:name="Tc_M77C06rYAESMXC5CzdBB4g_3_8"/>
      <w:bookmarkStart w:id="1071" w:name="Tc_aqkoFWYT90KTqU0FvK0chw_3_5"/>
      <w:bookmarkStart w:id="1072" w:name="Tc_1K17CWCEwUyQVtfstHZHjg_3_2"/>
      <w:bookmarkStart w:id="1073" w:name="Tc_N3li9UHqHEW3Y7VmbzREnQ_3_0"/>
      <w:bookmarkStart w:id="1074" w:name="Tc_EaKWc5EGKUuM6XhCPJ7ZWA_2_8"/>
      <w:bookmarkStart w:id="1075" w:name="Tc_M5Z39dIsc029hT45oZE9tw_2_2"/>
      <w:bookmarkStart w:id="1076" w:name="Tc_eePR7EP3_0-s6TOk7xN4Kg_1_8"/>
      <w:bookmarkStart w:id="1077" w:name="Tc_PqjTDH6mu02m2khEPwpSVw_1_2"/>
      <w:bookmarkStart w:id="1078" w:name="_76b4bed7_87c1_42cb_a3f8_7127a688748c"/>
      <w:bookmarkStart w:id="1079" w:name="Tc_E4lvZZWaGEC-J8d_5D-8WQ_8_11"/>
      <w:bookmarkStart w:id="1080" w:name="Tc_l0EP2-k3P0KTcHiM2EG5eQ_8_8"/>
      <w:bookmarkStart w:id="1081" w:name="Tc_OHEm_c8QnEKt1ddTiGu5GA_8_5"/>
      <w:bookmarkStart w:id="1082" w:name="Tc_i8ntpJ2C6USte5DpQKaoxg_8_2"/>
      <w:bookmarkStart w:id="1083" w:name="Tc_ShBnZyvpZUilUXzGXHacrw_8_0"/>
      <w:bookmarkStart w:id="1084" w:name="Tc_uTgCe0YRBUSZbQLzZmngmg_7_0"/>
      <w:bookmarkStart w:id="1085" w:name="Tc__1rwzUyF4kaYyk8VqvUVAg_6_0"/>
      <w:bookmarkStart w:id="1086" w:name="Tc_HJgQM9wME0WRvaBmBGl_hw_5_0"/>
      <w:bookmarkStart w:id="1087" w:name="Tc_lCIH6JpWz0qobEtbumtmug_4_11"/>
      <w:bookmarkStart w:id="1088" w:name="Tc_PCUTyRiqD0WERqiO8xzXVg_4_8"/>
      <w:bookmarkStart w:id="1089" w:name="Tc_MiwZq5RXXkSW5eh0bObEUQ_4_5"/>
      <w:bookmarkStart w:id="1090" w:name="Tc_Vk63cxMtcUmp1wZn5MGPOg_4_2"/>
      <w:bookmarkStart w:id="1091" w:name="Tc_Sdd8low-80OtGwMJ2sC9Ig_4_0"/>
      <w:bookmarkStart w:id="1092" w:name="Tc_xc63KBjVKUqHSgucwMUyUg_3_11"/>
      <w:bookmarkStart w:id="1093" w:name="Tc_txnvzHTNJkWCjrR7gLvF6g_3_8"/>
      <w:bookmarkStart w:id="1094" w:name="Tc_HN9vqTofNkOaP1VM4IAV0Q_3_5"/>
      <w:bookmarkStart w:id="1095" w:name="Tc_VvGMDRHxOEWPZF1jSTfCcQ_3_2"/>
      <w:bookmarkStart w:id="1096" w:name="Tc_aS_8x6tt002zu--U43LroA_3_0"/>
      <w:bookmarkStart w:id="1097" w:name="Tc_9TkBEalXzEuZR327zaUzOw_2_8"/>
      <w:bookmarkStart w:id="1098" w:name="Tc_ev1f1jGUhkey8uxNb9iixA_2_2"/>
      <w:bookmarkStart w:id="1099" w:name="Tc_2rWW4QwwGEKHonemm-sbxA_1_8"/>
      <w:bookmarkStart w:id="1100" w:name="Tc_0bD_O6_zvUe54EVg3U9YeQ_1_2"/>
      <w:bookmarkStart w:id="1101" w:name="_ddb38937_c7cc_42c8_81a0_1a495f5d5d19"/>
      <w:bookmarkStart w:id="1102" w:name="Tc_WrIGytcdIEeKi2VQBv8Thg_9_11"/>
      <w:bookmarkStart w:id="1103" w:name="Tc_wXyTIeiJikKmrTO0ywrXcA_9_8"/>
      <w:bookmarkStart w:id="1104" w:name="Tc_pooViuOo30i5EhpNO3EtuQ_9_5"/>
      <w:bookmarkStart w:id="1105" w:name="Tc_xg41WpdMZUi_IpNMpHSyOw_9_2"/>
      <w:bookmarkStart w:id="1106" w:name="Tc_SxmKOI4UdE217JPLZpiNRg_9_0"/>
      <w:bookmarkStart w:id="1107" w:name="Tc_7G9XiBcTY0CKQfN0dXSnEQ_8_0"/>
      <w:bookmarkStart w:id="1108" w:name="Tc_mGXAzjN8NEOSd5Xe7Jvfdg_7_0"/>
      <w:bookmarkStart w:id="1109" w:name="Tc_DPZEClHNY0qnbL9UyHz4Cw_6_0"/>
      <w:bookmarkStart w:id="1110" w:name="Tc_b7rsSTB2SUKBVczoQm6gnQ_5_0"/>
      <w:bookmarkStart w:id="1111" w:name="Tc_XZRuErCQY0SkcBoTqhlrSA_4_11"/>
      <w:bookmarkStart w:id="1112" w:name="Tc_bvEbkSW0MUeOQY1G3H6paw_4_8"/>
      <w:bookmarkStart w:id="1113" w:name="Tc_L1rhTGsCukaHXtHB1P31cg_4_5"/>
      <w:bookmarkStart w:id="1114" w:name="Tc_a1nTm8_FrkievYAI6gW_Kg_4_2"/>
      <w:bookmarkStart w:id="1115" w:name="Tc_fC1Slcbn1Uevnb2evreK2g_4_0"/>
      <w:bookmarkStart w:id="1116" w:name="Tc_CJlH1raX_kmGhTGh3hbhmg_3_11"/>
      <w:bookmarkStart w:id="1117" w:name="Tc_50MJBI5cDUmkWq6QS5Kz1Q_3_8"/>
      <w:bookmarkStart w:id="1118" w:name="Tc_H5KK43iF30Sn9u7kis9noQ_3_5"/>
      <w:bookmarkStart w:id="1119" w:name="Tc_LF75pKBn80utvFwdcZc6qA_3_2"/>
      <w:bookmarkStart w:id="1120" w:name="Tc_PiyAH5ATQEiw80ZKev4umw_3_0"/>
      <w:bookmarkStart w:id="1121" w:name="Tc_Utx6v8GWsE2_86ENeeJlyA_2_8"/>
      <w:bookmarkStart w:id="1122" w:name="Tc_bF9eWz_eUUKdJSXrRc3pPA_2_2"/>
      <w:bookmarkStart w:id="1123" w:name="Tc_lTGs1dFWqE263eb-db5qSQ_1_8"/>
      <w:bookmarkStart w:id="1124" w:name="Tc_IvIM2qpn9EWR_du0y4rWxg_1_2"/>
      <w:bookmarkStart w:id="1125" w:name="_c9d3fc53_74b9_4df5_ab69_710a41fcf1f1"/>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p>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60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REVENUES FROM CONTRACTS WITH CUSTOMERS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provides advisory services to clients on its corporate advisory platform through the advisor. The Company is the principal in these arrangements and recognizes advisory revenues on a gross basis, as the Company is responsible for satisfying the performance obligations and has control over determining the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total revenue from contracts with customers disaggregated by investment product for the three and six months ended June 30 </w:t>
      </w:r>
      <w:r>
        <w:rPr>
          <w:rFonts w:ascii="Times New Roman;Times;serif" w:hAnsi="Times New Roman;Times;serif"/>
          <w:i/>
          <w:sz w:val="20"/>
        </w:rPr>
        <w:t>(in thousands)</w:t>
      </w:r>
      <w:r>
        <w:rPr>
          <w:rFonts w:ascii="Times New Roman;Times;serif" w:hAnsi="Times New Roman;Times;serif"/>
          <w:sz w:val="20"/>
        </w:rPr>
        <w:t>:</w:t>
      </w:r>
    </w:p>
    <w:tbl>
      <w:tblPr>
        <w:tblW w:w="9373" w:type="dxa"/>
        <w:jc w:val="left"/>
        <w:tblInd w:w="0" w:type="dxa"/>
        <w:tblLayout w:type="fixed"/>
        <w:tblCellMar>
          <w:top w:w="0" w:type="dxa"/>
          <w:left w:w="0" w:type="dxa"/>
          <w:bottom w:w="0" w:type="dxa"/>
          <w:right w:w="0" w:type="dxa"/>
        </w:tblCellMar>
      </w:tblPr>
      <w:tblGrid>
        <w:gridCol w:w="4336"/>
        <w:gridCol w:w="346"/>
        <w:gridCol w:w="211"/>
        <w:gridCol w:w="676"/>
        <w:gridCol w:w="346"/>
        <w:gridCol w:w="211"/>
        <w:gridCol w:w="676"/>
        <w:gridCol w:w="346"/>
        <w:gridCol w:w="211"/>
        <w:gridCol w:w="676"/>
        <w:gridCol w:w="34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753360" cy="175260"/>
                      <wp:effectExtent l="0" t="0" r="0" b="0"/>
                      <wp:wrapNone/>
                      <wp:docPr id="99" name="Frame99"/>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260" cy="175260"/>
                      <wp:effectExtent l="0" t="0" r="0" b="0"/>
                      <wp:wrapNone/>
                      <wp:docPr id="102" name="Frame1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29260" cy="175260"/>
                      <wp:effectExtent l="0" t="0" r="0" b="0"/>
                      <wp:wrapNone/>
                      <wp:docPr id="105" name="Frame1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 From Contracts With Customers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50,653</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6,017</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6,932</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13,542</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88,679</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tables presents sales-based and trailing revenues disaggregated by product category for the three and six months ended June 30 </w:t>
      </w:r>
      <w:r>
        <w:rPr>
          <w:rFonts w:ascii="Times New Roman;Times;serif" w:hAnsi="Times New Roman;Times;serif"/>
          <w:i/>
          <w:sz w:val="20"/>
        </w:rPr>
        <w:t>(in thousands)</w:t>
      </w:r>
      <w:r>
        <w:rPr>
          <w:rFonts w:ascii="Times New Roman;Times;serif" w:hAnsi="Times New Roman;Times;serif"/>
          <w:sz w:val="20"/>
        </w:rPr>
        <w:t>:</w:t>
      </w:r>
    </w:p>
    <w:tbl>
      <w:tblPr>
        <w:tblW w:w="9373" w:type="dxa"/>
        <w:jc w:val="left"/>
        <w:tblInd w:w="0" w:type="dxa"/>
        <w:tblLayout w:type="fixed"/>
        <w:tblCellMar>
          <w:top w:w="0" w:type="dxa"/>
          <w:left w:w="0" w:type="dxa"/>
          <w:bottom w:w="0" w:type="dxa"/>
          <w:right w:w="0" w:type="dxa"/>
        </w:tblCellMar>
      </w:tblPr>
      <w:tblGrid>
        <w:gridCol w:w="4336"/>
        <w:gridCol w:w="346"/>
        <w:gridCol w:w="211"/>
        <w:gridCol w:w="676"/>
        <w:gridCol w:w="346"/>
        <w:gridCol w:w="211"/>
        <w:gridCol w:w="676"/>
        <w:gridCol w:w="346"/>
        <w:gridCol w:w="211"/>
        <w:gridCol w:w="676"/>
        <w:gridCol w:w="34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753360" cy="175260"/>
                      <wp:effectExtent l="0" t="0" r="0" b="0"/>
                      <wp:wrapNone/>
                      <wp:docPr id="112" name="Frame112"/>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29260" cy="175260"/>
                      <wp:effectExtent l="0" t="0" r="0" b="0"/>
                      <wp:wrapNone/>
                      <wp:docPr id="118" name="Frame1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9260" cy="175260"/>
                      <wp:effectExtent l="0" t="0" r="0" b="0"/>
                      <wp:wrapNone/>
                      <wp:docPr id="121"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5935" cy="175260"/>
                      <wp:effectExtent l="0" t="0" r="0" b="0"/>
                      <wp:wrapNone/>
                      <wp:docPr id="124" name="Frame1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Sales-based (Point in time)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20,435</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6,017</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6,762</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Sales Based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35,279</w:t>
            </w:r>
          </w:p>
        </w:tc>
      </w:tr>
    </w:tbl>
    <w:p>
      <w:pPr>
        <w:pStyle w:val="TextBody"/>
        <w:bidi w:val="0"/>
        <w:spacing w:before="0" w:after="240"/>
        <w:ind w:left="0" w:right="0" w:hanging="0"/>
        <w:jc w:val="both"/>
        <w:rPr/>
      </w:pPr>
      <w:r>
        <w:rPr/>
        <w:t>​</w:t>
      </w:r>
    </w:p>
    <w:tbl>
      <w:tblPr>
        <w:tblW w:w="9373" w:type="dxa"/>
        <w:jc w:val="left"/>
        <w:tblInd w:w="0" w:type="dxa"/>
        <w:tblLayout w:type="fixed"/>
        <w:tblCellMar>
          <w:top w:w="0" w:type="dxa"/>
          <w:left w:w="0" w:type="dxa"/>
          <w:bottom w:w="0" w:type="dxa"/>
          <w:right w:w="0" w:type="dxa"/>
        </w:tblCellMar>
      </w:tblPr>
      <w:tblGrid>
        <w:gridCol w:w="4336"/>
        <w:gridCol w:w="346"/>
        <w:gridCol w:w="211"/>
        <w:gridCol w:w="676"/>
        <w:gridCol w:w="346"/>
        <w:gridCol w:w="211"/>
        <w:gridCol w:w="676"/>
        <w:gridCol w:w="346"/>
        <w:gridCol w:w="211"/>
        <w:gridCol w:w="676"/>
        <w:gridCol w:w="34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753360" cy="175260"/>
                      <wp:effectExtent l="0" t="0" r="0" b="0"/>
                      <wp:wrapNone/>
                      <wp:docPr id="125" name="Frame125"/>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8" name="Frame1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9260" cy="175260"/>
                      <wp:effectExtent l="0" t="0" r="0" b="0"/>
                      <wp:wrapNone/>
                      <wp:docPr id="131" name="Frame1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260" cy="175260"/>
                      <wp:effectExtent l="0" t="0" r="0" b="0"/>
                      <wp:wrapNone/>
                      <wp:docPr id="134" name="Frame1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5935" cy="175260"/>
                      <wp:effectExtent l="0" t="0" r="0" b="0"/>
                      <wp:wrapNone/>
                      <wp:docPr id="137" name="Frame1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Trailing (Over time)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30,218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13,542</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Trailing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53,400</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40,625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88,679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Balances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timing of revenue recognition may differ from the timing of payment by the Company’s customers. The Company records a receivable when revenue is recognized prior to payment and there is an unconditional right to payment. The Company records a contract asset when the Company has recognized revenue prior to payment but the Company’s right to payment is conditional on something other than the passage of time. Alternatively, when payment precedes the provision of the related services, the Company records deferred revenues (a contract liability) until the performance obligations are satisfied. As of June 30, 2026 and December 31, 2025, the Company had receivables from contracts with customers totaling approximately $11.7 million and $11.1 million, respectively. The opening balance of receivables from contracts with customers was approximately $10.1 million as of January 1, 2025. As of June 30, 2026 and December 31, 2025, the Company had no liabilities from contracts with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60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REVENUES FROM CONTRACTS WITH CUSTOMERS </w:t>
            </w:r>
            <w:r>
              <w:rPr>
                <w:rFonts w:ascii="Times New Roman;Times;serif" w:hAnsi="Times New Roman;Times;serif"/>
                <w:b/>
                <w:i/>
                <w:sz w:val="22"/>
              </w:rPr>
              <w:t>(continued)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earns interest income from client margin accounts and cash equivalents. This revenue is not generated from contracts with customers. Additionally, the Company receives marketing fees and sponsorship income. </w:t>
      </w:r>
    </w:p>
    <w:p>
      <w:pPr>
        <w:pStyle w:val="TextBody"/>
        <w:bidi w:val="0"/>
        <w:spacing w:before="0" w:after="0"/>
        <w:ind w:left="0" w:right="0" w:hanging="0"/>
        <w:jc w:val="left"/>
        <w:rPr/>
      </w:pPr>
      <w:r>
        <w:rPr/>
        <w:t>​</w:t>
      </w:r>
    </w:p>
    <w:tbl>
      <w:tblPr>
        <w:tblW w:w="1607" w:type="dxa"/>
        <w:jc w:val="left"/>
        <w:tblInd w:w="0" w:type="dxa"/>
        <w:tblLayout w:type="fixed"/>
        <w:tblCellMar>
          <w:top w:w="0" w:type="dxa"/>
          <w:left w:w="0" w:type="dxa"/>
          <w:bottom w:w="0" w:type="dxa"/>
          <w:right w:w="0" w:type="dxa"/>
        </w:tblCellMar>
      </w:tblPr>
      <w:tblGrid>
        <w:gridCol w:w="271"/>
        <w:gridCol w:w="13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3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FAIR VALUE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FASB ASC 820, Fair Value Measurement defines fair value as the price that would be received to sell an asset or paid to transfer a liability in an orderly transaction between market participants at the measurement date. The standard establishes the following hierarchy used in fair value measurements and expands the required disclosures of assets and liabilities measured at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use quoted unadjusted prices in active markets for identical assets or liabilities that the Company can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Fair value measurements use other inputs that are observable, either directly or indirectly. These inputs include quoted prices for similar assets and liabilities in active markets as well as other inputs such as interest rates and yield curves that are observable at commonly quoted intervals.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 inputs, including inputs that are available in situations where there is little, if any, market activity for the related asset or liability. The inputs or methodology used for valuing assets and liabilities are not necessarily an indication of the risk associated with investing in those assets and liabilities.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financial instruments are carried at cost on the condensed consolidated statement of financial condition, which approximates fair value due to their short-term, highly liquid nature. The carrying value of debt approximates their fair value since the interest rates on these obligations represent current market rates.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Derivatives are valued using quoted market prices for identical instruments when available or observable inputs from forward and futures yield curves. The valuation models use required observable inputs including contractual terms, market process, yield curves, credit curves and measures of volatility. Our derivatives are classified as Level 2. The counterparty to our derivative transaction is a regulated bank. Management has determined that the counterparty credit risk associated with its derivative transaction is not significant. Accordingly, the recorded fair value has not been adjusted to reflect counterparty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26" w:name="Tc__ip9811Ze0eQeIGiLF8Ffg_5_2"/>
      <w:bookmarkStart w:id="1127" w:name="Tc_AGvviygYF0aSwzPb1hvs0w_4_0"/>
      <w:bookmarkStart w:id="1128" w:name="Tc_RRdsItCfak24NvZN0yvgsA_3_0"/>
      <w:bookmarkStart w:id="1129" w:name="Tc_znNZ5vMVNEiPGQSjD_NlPA_2_0"/>
      <w:bookmarkStart w:id="1130" w:name="Tc_qcqp7mAjXESRD58nr1bU_Q_1_2"/>
      <w:bookmarkStart w:id="1131" w:name="Tc__4nCS1z1KUm_Aytm7td_5w_1_0"/>
      <w:bookmarkStart w:id="1132" w:name="_eed49e14_9200_4ac0_9598_6fc06bbebd1b"/>
      <w:bookmarkStart w:id="1133" w:name="Tc__ip9811Ze0eQeIGiLF8Ffg_5_2"/>
      <w:bookmarkStart w:id="1134" w:name="Tc_AGvviygYF0aSwzPb1hvs0w_4_0"/>
      <w:bookmarkStart w:id="1135" w:name="Tc_RRdsItCfak24NvZN0yvgsA_3_0"/>
      <w:bookmarkStart w:id="1136" w:name="Tc_znNZ5vMVNEiPGQSjD_NlPA_2_0"/>
      <w:bookmarkStart w:id="1137" w:name="Tc_qcqp7mAjXESRD58nr1bU_Q_1_2"/>
      <w:bookmarkStart w:id="1138" w:name="Tc__4nCS1z1KUm_Aytm7td_5w_1_0"/>
      <w:bookmarkStart w:id="1139" w:name="_eed49e14_9200_4ac0_9598_6fc06bbebd1b"/>
      <w:bookmarkEnd w:id="1133"/>
      <w:bookmarkEnd w:id="1134"/>
      <w:bookmarkEnd w:id="1135"/>
      <w:bookmarkEnd w:id="1136"/>
      <w:bookmarkEnd w:id="1137"/>
      <w:bookmarkEnd w:id="1138"/>
      <w:bookmarkEnd w:id="1139"/>
    </w:p>
    <w:tbl>
      <w:tblPr>
        <w:tblW w:w="962" w:type="dxa"/>
        <w:jc w:val="left"/>
        <w:tblInd w:w="0" w:type="dxa"/>
        <w:tblLayout w:type="fixed"/>
        <w:tblCellMar>
          <w:top w:w="0" w:type="dxa"/>
          <w:left w:w="0" w:type="dxa"/>
          <w:bottom w:w="0" w:type="dxa"/>
          <w:right w:w="0" w:type="dxa"/>
        </w:tblCellMar>
      </w:tblPr>
      <w:tblGrid>
        <w:gridCol w:w="271"/>
        <w:gridCol w:w="69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6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June 30, 2026 and December 31, 2025, the outstanding balance under the Term Loan was $16.7 million and $17.7 million, respectively, net of unamortized 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June 30, 2026 and December 31, 2025, the amounts outstanding under the Non-Revolving Loan or Letter of Credit was $0.05 million and $0.00 million, respectively. The Letters of Credit were issued to support two office leases. The Letters of Credit are due on demand and carry an interest rate at the same rate as the Term Loan as outlined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the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four percent (4.00%) per annum; and (iii) if any other obligations is created under the Loan Documents (as defined in the Credit Agreement), at the Term Loan Interest Rate. As of June 30, 2026 and December 31, 2025, the effective interest rate was approximately 7.5% and 7.9%,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interest rate swap had a fair value liability of $0.01 million and $0.2 million, respectively and is included in accounts payable, accrued expenses and other liabilities on the condensed consolidated statements of financial condition. The Company has adopted the shortcut method allowing it to assume perfect hedge effectiveness. Changes in the effective portion of the swap’s fair value are recognized in accumulated other comprehensive income (“AOCI”) and included on the condensed consolidated statements of other comprehensive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financial covenants whereby BMS and its subsidiaries on a consolidated basis may not have, as of the last day of each fiscal quarter, commencing with fiscal quarter ending on March 31, 2025, (i)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minimum calendar maturities of the Term Loan as of June 30, 2026, are as follows </w:t>
      </w:r>
      <w:r>
        <w:rPr>
          <w:rFonts w:ascii="Times New Roman;Times;serif" w:hAnsi="Times New Roman;Times;serif"/>
          <w:b/>
          <w:i/>
          <w:sz w:val="20"/>
        </w:rPr>
        <w:t>(in thousands)</w:t>
      </w:r>
      <w:r>
        <w:rPr>
          <w:rFonts w:ascii="Times New Roman;Times;serif" w:hAnsi="Times New Roman;Times;serif"/>
          <w:sz w:val="20"/>
        </w:rPr>
        <w:t>:</w:t>
      </w:r>
    </w:p>
    <w:tbl>
      <w:tblPr>
        <w:tblW w:w="1879" w:type="dxa"/>
        <w:jc w:val="left"/>
        <w:tblInd w:w="0" w:type="dxa"/>
        <w:tblLayout w:type="fixed"/>
        <w:tblCellMar>
          <w:top w:w="0" w:type="dxa"/>
          <w:left w:w="0" w:type="dxa"/>
          <w:bottom w:w="0" w:type="dxa"/>
          <w:right w:w="0" w:type="dxa"/>
        </w:tblCellMar>
      </w:tblPr>
      <w:tblGrid>
        <w:gridCol w:w="541"/>
        <w:gridCol w:w="34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43535" cy="175260"/>
                      <wp:effectExtent l="0" t="0" r="0" b="0"/>
                      <wp:wrapNone/>
                      <wp:docPr id="138" name="Frame13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w:t>
            </w:r>
          </w:p>
        </w:tc>
      </w:tr>
      <w:tr>
        <w:trPr/>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17,255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782" w:type="dxa"/>
        <w:jc w:val="left"/>
        <w:tblInd w:w="0" w:type="dxa"/>
        <w:tblLayout w:type="fixed"/>
        <w:tblCellMar>
          <w:top w:w="0" w:type="dxa"/>
          <w:left w:w="0" w:type="dxa"/>
          <w:bottom w:w="0" w:type="dxa"/>
          <w:right w:w="0" w:type="dxa"/>
        </w:tblCellMar>
      </w:tblPr>
      <w:tblGrid>
        <w:gridCol w:w="271"/>
        <w:gridCol w:w="3511"/>
      </w:tblGrid>
      <w:tr>
        <w:trPr/>
        <w:tc>
          <w:tcPr>
            <w:tcW w:w="27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6.</w:t>
            </w:r>
          </w:p>
        </w:tc>
        <w:tc>
          <w:tcPr>
            <w:tcW w:w="351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PROMISSORY NOTES – AFFILIATES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November 30, 2017, WMS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restructured.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restructured.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restructuring of these notes,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June 30, 2026 and December 31, 2025 are $5.3 million. The terms of these new promissory notes provide for maturity on May 15, 2027 and carries an interest rate of Prime </w:t>
      </w:r>
      <w:r>
        <w:rPr>
          <w:rFonts w:ascii="Times New Roman;Times;serif" w:hAnsi="Times New Roman;Times;serif"/>
          <w:b w:val="false"/>
          <w:i w:val="false"/>
          <w:caps w:val="false"/>
          <w:smallCaps w:val="false"/>
          <w:sz w:val="20"/>
        </w:rPr>
        <w:t>plus</w:t>
      </w:r>
      <w:r>
        <w:rPr>
          <w:rFonts w:ascii="Times New Roman;Times;serif" w:hAnsi="Times New Roman;Times;serif"/>
          <w:sz w:val="20"/>
        </w:rPr>
        <w:t xml:space="preserve"> 1.00%, but no less </w:t>
      </w:r>
      <w:r>
        <w:rPr>
          <w:rFonts w:ascii="Times New Roman;Times;serif" w:hAnsi="Times New Roman;Times;serif"/>
          <w:b w:val="false"/>
          <w:i w:val="false"/>
          <w:caps w:val="false"/>
          <w:smallCaps w:val="false"/>
          <w:sz w:val="20"/>
        </w:rPr>
        <w:t>than</w:t>
      </w:r>
      <w:r>
        <w:rPr>
          <w:rFonts w:ascii="Times New Roman;Times;serif" w:hAnsi="Times New Roman;Times;serif"/>
          <w:sz w:val="20"/>
        </w:rPr>
        <w:t xml:space="preserve"> 7.50% per annum. Related interest expense was approximately $0.3 million for the three and six months ended June 30, 2026 and 2025.</w:t>
      </w:r>
    </w:p>
    <w:p>
      <w:pPr>
        <w:pStyle w:val="TextBody"/>
        <w:bidi w:val="0"/>
        <w:spacing w:before="0" w:after="240"/>
        <w:ind w:left="0" w:right="0" w:hanging="0"/>
        <w:jc w:val="both"/>
        <w:rPr/>
      </w:pPr>
      <w:r>
        <w:rPr/>
        <w:t>​</w:t>
      </w:r>
    </w:p>
    <w:tbl>
      <w:tblPr>
        <w:tblW w:w="6167" w:type="dxa"/>
        <w:jc w:val="left"/>
        <w:tblInd w:w="0" w:type="dxa"/>
        <w:tblLayout w:type="fixed"/>
        <w:tblCellMar>
          <w:top w:w="0" w:type="dxa"/>
          <w:left w:w="0" w:type="dxa"/>
          <w:bottom w:w="0" w:type="dxa"/>
          <w:right w:w="0" w:type="dxa"/>
        </w:tblCellMar>
      </w:tblPr>
      <w:tblGrid>
        <w:gridCol w:w="271"/>
        <w:gridCol w:w="5896"/>
      </w:tblGrid>
      <w:tr>
        <w:trPr/>
        <w:tc>
          <w:tcPr>
            <w:tcW w:w="27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7.</w:t>
            </w:r>
          </w:p>
        </w:tc>
        <w:tc>
          <w:tcPr>
            <w:tcW w:w="589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SERIES A REDEEMABLE CONVERTIBLE PREFERRED STOCK</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15, 2024 (the “Funding Date”), Binah Capital and BMS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June 30, 2026 and December 31, 2025, the Company accrued 50% of the dividend to be paid in cash in the approximate amount of $0.2 million and paid an in-kind dividend in the approximate amount of $0.2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Holdings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greater of $12.50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first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second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third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fourth anniversary of the Funding Date.</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Holdings, at its option, may redeem the Series A Stock on any anniversary of the Funding date up to and including the fourth anniversary of the Funding date at the following redemption prices:</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$11.50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first anniversary of the Funding Date;</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second anniversary of the Funding Date;</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third anniversary of the Funding Date;</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fourth anniversary of the Funding Date;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Holdings on the fourth anniversary of the Funding Date.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727" w:type="dxa"/>
        <w:jc w:val="left"/>
        <w:tblInd w:w="0" w:type="dxa"/>
        <w:tblLayout w:type="fixed"/>
        <w:tblCellMar>
          <w:top w:w="0" w:type="dxa"/>
          <w:left w:w="0" w:type="dxa"/>
          <w:bottom w:w="0" w:type="dxa"/>
          <w:right w:w="0" w:type="dxa"/>
        </w:tblCellMar>
      </w:tblPr>
      <w:tblGrid>
        <w:gridCol w:w="271"/>
        <w:gridCol w:w="445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44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SERIES B CONVERTIBLE PREFERRED STOCK</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par value $0.0001 (the “</w:t>
      </w:r>
      <w:r>
        <w:rPr>
          <w:rFonts w:ascii="Times New Roman;Times;serif" w:hAnsi="Times New Roman;Times;serif"/>
          <w:b/>
          <w:i/>
          <w:sz w:val="20"/>
        </w:rPr>
        <w:t>Holdings Series B Stock</w:t>
      </w:r>
      <w:r>
        <w:rPr>
          <w:rFonts w:ascii="Times New Roman;Times;serif" w:hAnsi="Times New Roman;Times;serif"/>
          <w:sz w:val="20"/>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B Stock carries a cumulative dividend at a rate of seven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June 30, 2026 and December 31, 2025, included in accounts payable, accrued expenses and other liabilities on the accompanying condensed consolidated statements of financial condition is an accrued dividend in the amount of $0.03 million that was paid subsequently.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be greater than $20.00.</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40" w:name="Tc_zFyisc-zm0y7Sf0u8kCKLQ_9_0"/>
      <w:bookmarkStart w:id="1141" w:name="Tc_4yOzH5bjZka8dJLmVH548Q_8_0"/>
      <w:bookmarkStart w:id="1142" w:name="Tc_co73G9GEpUKJkobzCFHPVg_7_0"/>
      <w:bookmarkStart w:id="1143" w:name="Tc_2wZ5x9xXoUu-M99ujyYX6w_6_2"/>
      <w:bookmarkStart w:id="1144" w:name="Tc_smDV6BCkbU-OoWmFXBiL0g_6_0"/>
      <w:bookmarkStart w:id="1145" w:name="Tc_qOeU5N6NlEevMLSQJVx5uQ_5_2"/>
      <w:bookmarkStart w:id="1146" w:name="Tc_tp7Y8GdfckCHd6ARYbQfEQ_5_0"/>
      <w:bookmarkStart w:id="1147" w:name="Tc_urFrYVfST0yQw0IpufU4Dw_4_2"/>
      <w:bookmarkStart w:id="1148" w:name="Tc_o443DneSrUe_5DGm3X9meQ_4_0"/>
      <w:bookmarkStart w:id="1149" w:name="Tc_P1dAX0H4PEiJd7VqsLR0Dg_3_0"/>
      <w:bookmarkStart w:id="1150" w:name="Tc_-2jGGfHciUq_4U16sqjDjw_2_2"/>
      <w:bookmarkStart w:id="1151" w:name="Tc_H0NZ1sQcHUmepZBDgR3wRw_1_2"/>
      <w:bookmarkStart w:id="1152" w:name="Tc_zFyisc-zm0y7Sf0u8kCKLQ_9_0"/>
      <w:bookmarkStart w:id="1153" w:name="Tc_4yOzH5bjZka8dJLmVH548Q_8_0"/>
      <w:bookmarkStart w:id="1154" w:name="Tc_co73G9GEpUKJkobzCFHPVg_7_0"/>
      <w:bookmarkStart w:id="1155" w:name="Tc_2wZ5x9xXoUu-M99ujyYX6w_6_2"/>
      <w:bookmarkStart w:id="1156" w:name="Tc_smDV6BCkbU-OoWmFXBiL0g_6_0"/>
      <w:bookmarkStart w:id="1157" w:name="Tc_qOeU5N6NlEevMLSQJVx5uQ_5_2"/>
      <w:bookmarkStart w:id="1158" w:name="Tc_tp7Y8GdfckCHd6ARYbQfEQ_5_0"/>
      <w:bookmarkStart w:id="1159" w:name="Tc_urFrYVfST0yQw0IpufU4Dw_4_2"/>
      <w:bookmarkStart w:id="1160" w:name="Tc_o443DneSrUe_5DGm3X9meQ_4_0"/>
      <w:bookmarkStart w:id="1161" w:name="Tc_P1dAX0H4PEiJd7VqsLR0Dg_3_0"/>
      <w:bookmarkStart w:id="1162" w:name="Tc_-2jGGfHciUq_4U16sqjDjw_2_2"/>
      <w:bookmarkStart w:id="1163" w:name="Tc_H0NZ1sQcHUmepZBDgR3wRw_1_2"/>
      <w:bookmarkEnd w:id="1152"/>
      <w:bookmarkEnd w:id="1153"/>
      <w:bookmarkEnd w:id="1154"/>
      <w:bookmarkEnd w:id="1155"/>
      <w:bookmarkEnd w:id="1156"/>
      <w:bookmarkEnd w:id="1157"/>
      <w:bookmarkEnd w:id="1158"/>
      <w:bookmarkEnd w:id="1159"/>
      <w:bookmarkEnd w:id="1160"/>
      <w:bookmarkEnd w:id="1161"/>
      <w:bookmarkEnd w:id="1162"/>
      <w:bookmarkEnd w:id="1163"/>
    </w:p>
    <w:tbl>
      <w:tblPr>
        <w:tblW w:w="3422" w:type="dxa"/>
        <w:jc w:val="left"/>
        <w:tblInd w:w="0" w:type="dxa"/>
        <w:tblLayout w:type="fixed"/>
        <w:tblCellMar>
          <w:top w:w="0" w:type="dxa"/>
          <w:left w:w="0" w:type="dxa"/>
          <w:bottom w:w="0" w:type="dxa"/>
          <w:right w:w="0" w:type="dxa"/>
        </w:tblCellMar>
      </w:tblPr>
      <w:tblGrid>
        <w:gridCol w:w="271"/>
        <w:gridCol w:w="3151"/>
      </w:tblGrid>
      <w:tr>
        <w:trPr/>
        <w:tc>
          <w:tcPr>
            <w:tcW w:w="271" w:type="dxa"/>
            <w:tcBorders/>
            <w:vAlign w:val="center"/>
          </w:tcPr>
          <w:p>
            <w:pPr>
              <w:pStyle w:val="TableContents"/>
              <w:bidi w:val="0"/>
              <w:spacing w:before="0" w:after="220"/>
              <w:jc w:val="both"/>
              <w:rPr>
                <w:rFonts w:ascii="Times New Roman;Times;serif" w:hAnsi="Times New Roman;Times;serif"/>
                <w:b/>
                <w:sz w:val="20"/>
              </w:rPr>
            </w:pPr>
            <w:r>
              <w:rPr>
                <w:rFonts w:ascii="Times New Roman;Times;serif" w:hAnsi="Times New Roman;Times;serif"/>
                <w:b/>
                <w:sz w:val="20"/>
              </w:rPr>
              <w:t>9.</w:t>
            </w:r>
          </w:p>
        </w:tc>
        <w:tc>
          <w:tcPr>
            <w:tcW w:w="3151" w:type="dxa"/>
            <w:tcBorders/>
            <w:vAlign w:val="center"/>
          </w:tcPr>
          <w:p>
            <w:pPr>
              <w:pStyle w:val="TableContents"/>
              <w:bidi w:val="0"/>
              <w:spacing w:before="0" w:after="22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Binah Capital Group, Inc. 2024 Equity Incentive Plan (the “Plan”) was established and effective March 15, 2024. The purpose of the Plan is to advance the interests of the Company and its stockholders by providing an incentive to attract, retain and reward persons performing services for the Company and by motivating such persons to contribute to the growth and profitability of the Company.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Subject to adjustment as provided in the Plan, the maximum aggregate number of shares of Stock that may be issued under the Plan shall be equal to 1,600,000 shares (the “</w:t>
      </w:r>
      <w:r>
        <w:rPr>
          <w:rFonts w:ascii="Times New Roman;Times;serif" w:hAnsi="Times New Roman;Times;serif"/>
          <w:b/>
          <w:i/>
          <w:sz w:val="20"/>
        </w:rPr>
        <w:t>Base Reserve</w:t>
      </w:r>
      <w:r>
        <w:rPr>
          <w:rFonts w:ascii="Times New Roman;Times;serif" w:hAnsi="Times New Roman;Times;serif"/>
          <w:sz w:val="20"/>
        </w:rPr>
        <w:t>”) plus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(10th)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stock option activity as of and for the six months ended June 30, 2026:</w:t>
      </w:r>
    </w:p>
    <w:p>
      <w:pPr>
        <w:pStyle w:val="TextBody"/>
        <w:bidi w:val="0"/>
        <w:spacing w:before="0" w:after="0"/>
        <w:ind w:left="0" w:right="0" w:hanging="0"/>
        <w:jc w:val="left"/>
        <w:rPr/>
      </w:pPr>
      <w:r>
        <w:rPr/>
        <w:t>​</w:t>
      </w:r>
    </w:p>
    <w:tbl>
      <w:tblPr>
        <w:tblW w:w="5253" w:type="dxa"/>
        <w:jc w:val="left"/>
        <w:tblInd w:w="0" w:type="dxa"/>
        <w:tblLayout w:type="fixed"/>
        <w:tblCellMar>
          <w:top w:w="0" w:type="dxa"/>
          <w:left w:w="0" w:type="dxa"/>
          <w:bottom w:w="0" w:type="dxa"/>
          <w:right w:w="0" w:type="dxa"/>
        </w:tblCellMar>
      </w:tblPr>
      <w:tblGrid>
        <w:gridCol w:w="3961"/>
        <w:gridCol w:w="406"/>
        <w:gridCol w:w="88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15235" cy="175260"/>
                      <wp:effectExtent l="0" t="0" r="0" b="0"/>
                      <wp:wrapNone/>
                      <wp:docPr id="142" name="Frame142"/>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57810" cy="175260"/>
                      <wp:effectExtent l="0" t="0" r="0" b="0"/>
                      <wp:wrapNone/>
                      <wp:docPr id="143" name="Frame1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62610" cy="175260"/>
                      <wp:effectExtent l="0" t="0" r="0" b="0"/>
                      <wp:wrapNone/>
                      <wp:docPr id="144" name="Frame1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  ​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w:t>
            </w:r>
          </w:p>
        </w:tc>
      </w:tr>
      <w:tr>
        <w:trPr/>
        <w:tc>
          <w:tcPr>
            <w:tcW w:w="39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January 1, 2026</w:t>
            </w:r>
          </w:p>
        </w:tc>
        <w:tc>
          <w:tcPr>
            <w:tcW w:w="40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40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40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40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June 30, 2026</w:t>
            </w:r>
          </w:p>
        </w:tc>
        <w:tc>
          <w:tcPr>
            <w:tcW w:w="40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w:t>
            </w:r>
          </w:p>
        </w:tc>
        <w:tc>
          <w:tcPr>
            <w:tcW w:w="40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566,667</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and expected to vest June 30, 2026</w:t>
            </w:r>
          </w:p>
        </w:tc>
        <w:tc>
          <w:tcPr>
            <w:tcW w:w="40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566,667</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64" w:name="Tc_hli-ViX_Q0GGOYYlPe_ioA_11_9"/>
      <w:bookmarkStart w:id="1165" w:name="Tc_uMPb3pu4JEKCS-vPAPcR9Q_11_4"/>
      <w:bookmarkStart w:id="1166" w:name="Tc_ACiDOp2xXUCD4xELEJoOEA_11_0"/>
      <w:bookmarkStart w:id="1167" w:name="Tc_n-GfUqVro0iQEduev-UTtw_10_9"/>
      <w:bookmarkStart w:id="1168" w:name="Tc_di2d9fsRW0mMYO-jDSZnHQ_10_4"/>
      <w:bookmarkStart w:id="1169" w:name="Tc_uxo1InVrF0KnM7azIK6InQ_10_0"/>
      <w:bookmarkStart w:id="1170" w:name="Tc_j5cWfCDKaEi7-tdY0xYF9w_9_10"/>
      <w:bookmarkStart w:id="1171" w:name="Tc_jd-pbGDX5EiHY7ho7_GBZQ_9_9"/>
      <w:bookmarkStart w:id="1172" w:name="Tc_FMeQxyHUbUKIttatV48Mhw_9_7"/>
      <w:bookmarkStart w:id="1173" w:name="Tc_2NeSM431sEy8be2MTh3X4w_9_2"/>
      <w:bookmarkStart w:id="1174" w:name="Tc_nflxqNuTUU2_TrF_VvK1GA_9_0"/>
      <w:bookmarkStart w:id="1175" w:name="Tc_W5aNBgb0fkCnRo7e8zADVA_8_9"/>
      <w:bookmarkStart w:id="1176" w:name="Tc_9BNDhptB_E6Zlt3_abhmXg_8_4"/>
      <w:bookmarkStart w:id="1177" w:name="Tc_VwRHzqXfdU2fcet_iXK4lw_8_0"/>
      <w:bookmarkStart w:id="1178" w:name="Tc_JWU9FW3MZEutLehg2ZXn6g_7_9"/>
      <w:bookmarkStart w:id="1179" w:name="Tc_zQVAH4CQ90-7ey8vZxO5fA_7_7"/>
      <w:bookmarkStart w:id="1180" w:name="Tc_BDra0YvrmUGHgPnyi5_FJw_7_4"/>
      <w:bookmarkStart w:id="1181" w:name="Tc_XU6Ooa6mHUCNgH2g7Cy8wQ_7_0"/>
      <w:bookmarkStart w:id="1182" w:name="Tc_vrF8QE-YS0u-akLFApb97g_6_9"/>
      <w:bookmarkStart w:id="1183" w:name="Tc_l6RUdrLK70maSz_ans3X9g_6_4"/>
      <w:bookmarkStart w:id="1184" w:name="Tc_DYhFJYk6JkqSACdUemOVFA_6_0"/>
      <w:bookmarkStart w:id="1185" w:name="Tc_krsxuq34I0eLveQtejFBWw_5_9"/>
      <w:bookmarkStart w:id="1186" w:name="Tc_hNXfQz78KUCUCpOskGN6Yg_5_7"/>
      <w:bookmarkStart w:id="1187" w:name="Tc_sm3t9jzhW0m4Q0e6F8vxvw_5_4"/>
      <w:bookmarkStart w:id="1188" w:name="Tc_mtYGzqR8akysso5G-tfcBg_5_2"/>
      <w:bookmarkStart w:id="1189" w:name="Tc_nlQY2NSTekicofi2q7yM6A_4_9"/>
      <w:bookmarkStart w:id="1190" w:name="Tc_yKsFubtkuUiVcQ6Ax4M4aw_4_7"/>
      <w:bookmarkStart w:id="1191" w:name="Tc_IiSLLOfg5EWs9ZtM4D0t6w_4_4"/>
      <w:bookmarkStart w:id="1192" w:name="Tc_xsetT4WHUk6zRlbDu8R__A_4_2"/>
      <w:bookmarkStart w:id="1193" w:name="Tc_sdqSzw_BM0Ss7w3-4a-L2g_3_9"/>
      <w:bookmarkStart w:id="1194" w:name="Tc_FRhziATxlkuYwp67wi05zw_3_4"/>
      <w:bookmarkStart w:id="1195" w:name="Tc_xisWzUr4ukWgBpxLdgxZIw_2_9"/>
      <w:bookmarkStart w:id="1196" w:name="Tc_SCvaxdmHOkii42xbQ_xhug_2_4"/>
      <w:bookmarkStart w:id="1197" w:name="Tc_P-2i_wvLMUax8gv-7IaWvw_1_7"/>
      <w:bookmarkStart w:id="1198" w:name="Tc_dn5iEPFyv0mgsXJvvDmLyg_1_2"/>
      <w:bookmarkStart w:id="1199" w:name="Tc_KUId8f8t-0WTl4iDawJ9ZQ_6_11"/>
      <w:bookmarkStart w:id="1200" w:name="Tc_Yc79LV2hAUiwJmhPynjZDw_6_4"/>
      <w:bookmarkStart w:id="1201" w:name="Tc_20Q3Za6gTkaQao0oz2GFdQ_5_11"/>
      <w:bookmarkStart w:id="1202" w:name="Tc_g-4CM2fLxUiUsSLyjncW3Q_5_9"/>
      <w:bookmarkStart w:id="1203" w:name="Tc_LlZ8pJCdqU-Rcd6TYzcpNw_5_7"/>
      <w:bookmarkStart w:id="1204" w:name="Tc_Jz3jtUiZwUqctetxirEI9w_5_4"/>
      <w:bookmarkStart w:id="1205" w:name="Tc_Yu9MDDTkDkaO_RrzNqw6xQ_5_2"/>
      <w:bookmarkStart w:id="1206" w:name="Tc_KQZ0GFyMs0-XJlR2HjNsiA_5_0"/>
      <w:bookmarkStart w:id="1207" w:name="Tc_1OWDo9fR_EaGkrV_GYXUDQ_4_11"/>
      <w:bookmarkStart w:id="1208" w:name="Tc_iNpxo7DWjku96pRBln0THg_4_9"/>
      <w:bookmarkStart w:id="1209" w:name="Tc_-1yyESjFk0aQRqbukyDI5g_4_7"/>
      <w:bookmarkStart w:id="1210" w:name="Tc_uuAnewujiEOF1I9Q9vDpEw_4_4"/>
      <w:bookmarkStart w:id="1211" w:name="Tc_Kq_iHelgMEqmhRCuU6kqlw_4_2"/>
      <w:bookmarkStart w:id="1212" w:name="Tc_0QPTP4PnVUawqQ4opo6O8A_3_11"/>
      <w:bookmarkStart w:id="1213" w:name="Tc_pVFBfVr_7UK5f5E-xFYURw_3_7"/>
      <w:bookmarkStart w:id="1214" w:name="Tc_kjoVMGNziEO7KMJ4Y0NVUw_3_4"/>
      <w:bookmarkStart w:id="1215" w:name="Tc_ak6YGOUrIkqWVbGWeQ7NSQ_2_11"/>
      <w:bookmarkStart w:id="1216" w:name="Tc_rEIH7-XlUUCYZtpDAv3b5w_2_7"/>
      <w:bookmarkStart w:id="1217" w:name="Tc_81dqK6YtzUSilwjMDXH1AA_2_4"/>
      <w:bookmarkStart w:id="1218" w:name="Tc_7Maz8IycJUCDZDuk8U4wCg_1_11"/>
      <w:bookmarkStart w:id="1219" w:name="Tc_qnpDPOdjMUGvRyi9tQbuBg_1_4"/>
      <w:bookmarkStart w:id="1220" w:name="_5bc6699b_3446_4af3_95bf_1b37b9eb9597"/>
      <w:bookmarkStart w:id="1221" w:name="Tc_hli-ViX_Q0GGOYYlPe_ioA_11_9"/>
      <w:bookmarkStart w:id="1222" w:name="Tc_uMPb3pu4JEKCS-vPAPcR9Q_11_4"/>
      <w:bookmarkStart w:id="1223" w:name="Tc_ACiDOp2xXUCD4xELEJoOEA_11_0"/>
      <w:bookmarkStart w:id="1224" w:name="Tc_n-GfUqVro0iQEduev-UTtw_10_9"/>
      <w:bookmarkStart w:id="1225" w:name="Tc_di2d9fsRW0mMYO-jDSZnHQ_10_4"/>
      <w:bookmarkStart w:id="1226" w:name="Tc_uxo1InVrF0KnM7azIK6InQ_10_0"/>
      <w:bookmarkStart w:id="1227" w:name="Tc_j5cWfCDKaEi7-tdY0xYF9w_9_10"/>
      <w:bookmarkStart w:id="1228" w:name="Tc_jd-pbGDX5EiHY7ho7_GBZQ_9_9"/>
      <w:bookmarkStart w:id="1229" w:name="Tc_FMeQxyHUbUKIttatV48Mhw_9_7"/>
      <w:bookmarkStart w:id="1230" w:name="Tc_2NeSM431sEy8be2MTh3X4w_9_2"/>
      <w:bookmarkStart w:id="1231" w:name="Tc_nflxqNuTUU2_TrF_VvK1GA_9_0"/>
      <w:bookmarkStart w:id="1232" w:name="Tc_W5aNBgb0fkCnRo7e8zADVA_8_9"/>
      <w:bookmarkStart w:id="1233" w:name="Tc_9BNDhptB_E6Zlt3_abhmXg_8_4"/>
      <w:bookmarkStart w:id="1234" w:name="Tc_VwRHzqXfdU2fcet_iXK4lw_8_0"/>
      <w:bookmarkStart w:id="1235" w:name="Tc_JWU9FW3MZEutLehg2ZXn6g_7_9"/>
      <w:bookmarkStart w:id="1236" w:name="Tc_zQVAH4CQ90-7ey8vZxO5fA_7_7"/>
      <w:bookmarkStart w:id="1237" w:name="Tc_BDra0YvrmUGHgPnyi5_FJw_7_4"/>
      <w:bookmarkStart w:id="1238" w:name="Tc_XU6Ooa6mHUCNgH2g7Cy8wQ_7_0"/>
      <w:bookmarkStart w:id="1239" w:name="Tc_vrF8QE-YS0u-akLFApb97g_6_9"/>
      <w:bookmarkStart w:id="1240" w:name="Tc_l6RUdrLK70maSz_ans3X9g_6_4"/>
      <w:bookmarkStart w:id="1241" w:name="Tc_DYhFJYk6JkqSACdUemOVFA_6_0"/>
      <w:bookmarkStart w:id="1242" w:name="Tc_krsxuq34I0eLveQtejFBWw_5_9"/>
      <w:bookmarkStart w:id="1243" w:name="Tc_hNXfQz78KUCUCpOskGN6Yg_5_7"/>
      <w:bookmarkStart w:id="1244" w:name="Tc_sm3t9jzhW0m4Q0e6F8vxvw_5_4"/>
      <w:bookmarkStart w:id="1245" w:name="Tc_mtYGzqR8akysso5G-tfcBg_5_2"/>
      <w:bookmarkStart w:id="1246" w:name="Tc_nlQY2NSTekicofi2q7yM6A_4_9"/>
      <w:bookmarkStart w:id="1247" w:name="Tc_yKsFubtkuUiVcQ6Ax4M4aw_4_7"/>
      <w:bookmarkStart w:id="1248" w:name="Tc_IiSLLOfg5EWs9ZtM4D0t6w_4_4"/>
      <w:bookmarkStart w:id="1249" w:name="Tc_xsetT4WHUk6zRlbDu8R__A_4_2"/>
      <w:bookmarkStart w:id="1250" w:name="Tc_sdqSzw_BM0Ss7w3-4a-L2g_3_9"/>
      <w:bookmarkStart w:id="1251" w:name="Tc_FRhziATxlkuYwp67wi05zw_3_4"/>
      <w:bookmarkStart w:id="1252" w:name="Tc_xisWzUr4ukWgBpxLdgxZIw_2_9"/>
      <w:bookmarkStart w:id="1253" w:name="Tc_SCvaxdmHOkii42xbQ_xhug_2_4"/>
      <w:bookmarkStart w:id="1254" w:name="Tc_P-2i_wvLMUax8gv-7IaWvw_1_7"/>
      <w:bookmarkStart w:id="1255" w:name="Tc_dn5iEPFyv0mgsXJvvDmLyg_1_2"/>
      <w:bookmarkStart w:id="1256" w:name="Tc_KUId8f8t-0WTl4iDawJ9ZQ_6_11"/>
      <w:bookmarkStart w:id="1257" w:name="Tc_Yc79LV2hAUiwJmhPynjZDw_6_4"/>
      <w:bookmarkStart w:id="1258" w:name="Tc_20Q3Za6gTkaQao0oz2GFdQ_5_11"/>
      <w:bookmarkStart w:id="1259" w:name="Tc_g-4CM2fLxUiUsSLyjncW3Q_5_9"/>
      <w:bookmarkStart w:id="1260" w:name="Tc_LlZ8pJCdqU-Rcd6TYzcpNw_5_7"/>
      <w:bookmarkStart w:id="1261" w:name="Tc_Jz3jtUiZwUqctetxirEI9w_5_4"/>
      <w:bookmarkStart w:id="1262" w:name="Tc_Yu9MDDTkDkaO_RrzNqw6xQ_5_2"/>
      <w:bookmarkStart w:id="1263" w:name="Tc_KQZ0GFyMs0-XJlR2HjNsiA_5_0"/>
      <w:bookmarkStart w:id="1264" w:name="Tc_1OWDo9fR_EaGkrV_GYXUDQ_4_11"/>
      <w:bookmarkStart w:id="1265" w:name="Tc_iNpxo7DWjku96pRBln0THg_4_9"/>
      <w:bookmarkStart w:id="1266" w:name="Tc_-1yyESjFk0aQRqbukyDI5g_4_7"/>
      <w:bookmarkStart w:id="1267" w:name="Tc_uuAnewujiEOF1I9Q9vDpEw_4_4"/>
      <w:bookmarkStart w:id="1268" w:name="Tc_Kq_iHelgMEqmhRCuU6kqlw_4_2"/>
      <w:bookmarkStart w:id="1269" w:name="Tc_0QPTP4PnVUawqQ4opo6O8A_3_11"/>
      <w:bookmarkStart w:id="1270" w:name="Tc_pVFBfVr_7UK5f5E-xFYURw_3_7"/>
      <w:bookmarkStart w:id="1271" w:name="Tc_kjoVMGNziEO7KMJ4Y0NVUw_3_4"/>
      <w:bookmarkStart w:id="1272" w:name="Tc_ak6YGOUrIkqWVbGWeQ7NSQ_2_11"/>
      <w:bookmarkStart w:id="1273" w:name="Tc_rEIH7-XlUUCYZtpDAv3b5w_2_7"/>
      <w:bookmarkStart w:id="1274" w:name="Tc_81dqK6YtzUSilwjMDXH1AA_2_4"/>
      <w:bookmarkStart w:id="1275" w:name="Tc_7Maz8IycJUCDZDuk8U4wCg_1_11"/>
      <w:bookmarkStart w:id="1276" w:name="Tc_qnpDPOdjMUGvRyi9tQbuBg_1_4"/>
      <w:bookmarkStart w:id="1277" w:name="_5bc6699b_3446_4af3_95bf_1b37b9eb9597"/>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p>
    <w:tbl>
      <w:tblPr>
        <w:tblW w:w="4547" w:type="dxa"/>
        <w:jc w:val="left"/>
        <w:tblInd w:w="0" w:type="dxa"/>
        <w:tblLayout w:type="fixed"/>
        <w:tblCellMar>
          <w:top w:w="0" w:type="dxa"/>
          <w:left w:w="0" w:type="dxa"/>
          <w:bottom w:w="0" w:type="dxa"/>
          <w:right w:w="0" w:type="dxa"/>
        </w:tblCellMar>
      </w:tblPr>
      <w:tblGrid>
        <w:gridCol w:w="271"/>
        <w:gridCol w:w="4276"/>
      </w:tblGrid>
      <w:tr>
        <w:trPr/>
        <w:tc>
          <w:tcPr>
            <w:tcW w:w="27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9.</w:t>
            </w:r>
          </w:p>
        </w:tc>
        <w:tc>
          <w:tcPr>
            <w:tcW w:w="42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b/>
                <w:sz w:val="20"/>
              </w:rPr>
              <w:t xml:space="preserve">SHARE-BASED COMPENSATION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about the outstanding options as of June 30, 2026:</w:t>
      </w:r>
    </w:p>
    <w:tbl>
      <w:tblPr>
        <w:tblW w:w="8816" w:type="dxa"/>
        <w:jc w:val="left"/>
        <w:tblInd w:w="0" w:type="dxa"/>
        <w:tblLayout w:type="fixed"/>
        <w:tblCellMar>
          <w:top w:w="0" w:type="dxa"/>
          <w:left w:w="0" w:type="dxa"/>
          <w:bottom w:w="0" w:type="dxa"/>
          <w:right w:w="0" w:type="dxa"/>
        </w:tblCellMar>
      </w:tblPr>
      <w:tblGrid>
        <w:gridCol w:w="1141"/>
        <w:gridCol w:w="346"/>
        <w:gridCol w:w="1531"/>
        <w:gridCol w:w="346"/>
        <w:gridCol w:w="313"/>
        <w:gridCol w:w="693"/>
        <w:gridCol w:w="346"/>
        <w:gridCol w:w="976"/>
        <w:gridCol w:w="346"/>
        <w:gridCol w:w="1456"/>
        <w:gridCol w:w="346"/>
        <w:gridCol w:w="263"/>
        <w:gridCol w:w="713"/>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24535" cy="175260"/>
                      <wp:effectExtent l="0" t="0" r="0" b="0"/>
                      <wp:wrapNone/>
                      <wp:docPr id="145" name="Frame14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72185" cy="175260"/>
                      <wp:effectExtent l="0" t="0" r="0" b="0"/>
                      <wp:wrapNone/>
                      <wp:docPr id="147" name="Frame147"/>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98755" cy="175260"/>
                      <wp:effectExtent l="0" t="0" r="0" b="0"/>
                      <wp:wrapNone/>
                      <wp:docPr id="149" name="Frame149"/>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40055" cy="175260"/>
                      <wp:effectExtent l="0" t="0" r="0" b="0"/>
                      <wp:wrapNone/>
                      <wp:docPr id="150" name="Frame150"/>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19760" cy="175260"/>
                      <wp:effectExtent l="0" t="0" r="0" b="0"/>
                      <wp:wrapNone/>
                      <wp:docPr id="152" name="Frame15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24560" cy="175260"/>
                      <wp:effectExtent l="0" t="0" r="0" b="0"/>
                      <wp:wrapNone/>
                      <wp:docPr id="154" name="Frame15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7005" cy="175260"/>
                      <wp:effectExtent l="0" t="0" r="0" b="0"/>
                      <wp:wrapNone/>
                      <wp:docPr id="156" name="Frame15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52755" cy="175260"/>
                      <wp:effectExtent l="0" t="0" r="0" b="0"/>
                      <wp:wrapNone/>
                      <wp:docPr id="157" name="Frame15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4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11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center"/>
              <w:rPr/>
            </w:pPr>
            <w:r>
              <w:rPr/>
              <w:t>  ​ ​ ​</w:t>
            </w:r>
          </w:p>
        </w:tc>
        <w:tc>
          <w:tcPr>
            <w:tcW w:w="15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Outstanding</w:t>
            </w:r>
          </w:p>
        </w:tc>
        <w:tc>
          <w:tcPr>
            <w:tcW w:w="346" w:type="dxa"/>
            <w:tcBorders/>
            <w:vAlign w:val="center"/>
          </w:tcPr>
          <w:p>
            <w:pPr>
              <w:pStyle w:val="TableContents"/>
              <w:bidi w:val="0"/>
              <w:spacing w:before="0" w:after="1"/>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1"/>
              <w:ind w:left="0" w:right="0" w:hanging="0"/>
              <w:jc w:val="center"/>
              <w:rPr/>
            </w:pPr>
            <w:r>
              <w:rPr/>
              <w:t>  ​ ​ ​</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Exercisable</w:t>
            </w:r>
          </w:p>
        </w:tc>
        <w:tc>
          <w:tcPr>
            <w:tcW w:w="346" w:type="dxa"/>
            <w:tcBorders/>
            <w:vAlign w:val="center"/>
          </w:tcPr>
          <w:p>
            <w:pPr>
              <w:pStyle w:val="TableContents"/>
              <w:bidi w:val="0"/>
              <w:spacing w:before="0" w:after="1"/>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$2.04 </w:t>
            </w:r>
          </w:p>
        </w:tc>
        <w:tc>
          <w:tcPr>
            <w:tcW w:w="346" w:type="dxa"/>
            <w:tcBorders/>
            <w:shd w:fill="CCEEFF" w:val="clear"/>
            <w:vAlign w:val="center"/>
          </w:tcPr>
          <w:p>
            <w:pPr>
              <w:pStyle w:val="TableContents"/>
              <w:bidi w:val="0"/>
              <w:spacing w:before="0" w:after="1"/>
              <w:ind w:left="0" w:right="0" w:hanging="0"/>
              <w:jc w:val="left"/>
              <w:rPr/>
            </w:pPr>
            <w:r>
              <w:rPr/>
              <w:t> </w:t>
            </w:r>
          </w:p>
        </w:tc>
        <w:tc>
          <w:tcPr>
            <w:tcW w:w="1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872,500</w:t>
            </w:r>
          </w:p>
        </w:tc>
        <w:tc>
          <w:tcPr>
            <w:tcW w:w="34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14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566,667</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Restricted Stock and Stock Units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summarizes the Company’s activity in its restricted stock awards and stock units as of and for the six months ended June 30, 2026:</w:t>
      </w:r>
    </w:p>
    <w:p>
      <w:pPr>
        <w:pStyle w:val="TextBody"/>
        <w:bidi w:val="0"/>
        <w:spacing w:before="0" w:after="0"/>
        <w:ind w:left="0" w:right="0" w:hanging="0"/>
        <w:jc w:val="left"/>
        <w:rPr/>
      </w:pPr>
      <w:r>
        <w:rPr/>
        <w:t>​</w:t>
      </w:r>
    </w:p>
    <w:tbl>
      <w:tblPr>
        <w:tblW w:w="8784" w:type="dxa"/>
        <w:jc w:val="left"/>
        <w:tblInd w:w="0" w:type="dxa"/>
        <w:tblLayout w:type="fixed"/>
        <w:tblCellMar>
          <w:top w:w="0" w:type="dxa"/>
          <w:left w:w="0" w:type="dxa"/>
          <w:bottom w:w="0" w:type="dxa"/>
          <w:right w:w="0" w:type="dxa"/>
        </w:tblCellMar>
      </w:tblPr>
      <w:tblGrid>
        <w:gridCol w:w="3691"/>
        <w:gridCol w:w="346"/>
        <w:gridCol w:w="886"/>
        <w:gridCol w:w="346"/>
        <w:gridCol w:w="294"/>
        <w:gridCol w:w="652"/>
        <w:gridCol w:w="346"/>
        <w:gridCol w:w="886"/>
        <w:gridCol w:w="346"/>
        <w:gridCol w:w="266"/>
        <w:gridCol w:w="725"/>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343785" cy="175260"/>
                      <wp:effectExtent l="0" t="0" r="0" b="0"/>
                      <wp:wrapNone/>
                      <wp:docPr id="158" name="Frame158"/>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62610" cy="175260"/>
                      <wp:effectExtent l="0" t="0" r="0" b="0"/>
                      <wp:wrapNone/>
                      <wp:docPr id="160" name="Frame1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6690" cy="175260"/>
                      <wp:effectExtent l="0" t="0" r="0" b="0"/>
                      <wp:wrapNone/>
                      <wp:docPr id="162" name="Frame162"/>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14020" cy="175260"/>
                      <wp:effectExtent l="0" t="0" r="0" b="0"/>
                      <wp:wrapNone/>
                      <wp:docPr id="163" name="Frame163"/>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62610" cy="175260"/>
                      <wp:effectExtent l="0" t="0" r="0" b="0"/>
                      <wp:wrapNone/>
                      <wp:docPr id="165" name="Frame16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8910" cy="175260"/>
                      <wp:effectExtent l="0" t="0" r="0" b="0"/>
                      <wp:wrapNone/>
                      <wp:docPr id="167" name="Frame16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60375" cy="175260"/>
                      <wp:effectExtent l="0" t="0" r="0" b="0"/>
                      <wp:wrapNone/>
                      <wp:docPr id="168" name="Frame168"/>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7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Awards</w:t>
            </w:r>
          </w:p>
        </w:tc>
        <w:tc>
          <w:tcPr>
            <w:tcW w:w="346" w:type="dxa"/>
            <w:tcBorders/>
            <w:vAlign w:val="center"/>
          </w:tcPr>
          <w:p>
            <w:pPr>
              <w:pStyle w:val="TableContents"/>
              <w:bidi w:val="0"/>
              <w:spacing w:before="0" w:after="1"/>
              <w:ind w:left="0" w:right="0" w:hanging="0"/>
              <w:jc w:val="center"/>
              <w:rPr/>
            </w:pPr>
            <w:r>
              <w:rPr/>
              <w:t>  ​ ​ ​</w:t>
            </w:r>
          </w:p>
        </w:tc>
        <w:tc>
          <w:tcPr>
            <w:tcW w:w="222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unvested -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112,843</w:t>
            </w:r>
          </w:p>
        </w:tc>
        <w:tc>
          <w:tcPr>
            <w:tcW w:w="346" w:type="dxa"/>
            <w:tcBorders/>
            <w:shd w:fill="CCEEFF" w:val="clear"/>
            <w:vAlign w:val="center"/>
          </w:tcPr>
          <w:p>
            <w:pPr>
              <w:pStyle w:val="TableContents"/>
              <w:bidi w:val="0"/>
              <w:spacing w:before="0" w:after="1"/>
              <w:ind w:left="0" w:right="0" w:hanging="0"/>
              <w:jc w:val="left"/>
              <w:rPr/>
            </w:pPr>
            <w:r>
              <w:rPr/>
              <w:t> </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shd w:fill="CCEEFF" w:val="clear"/>
            <w:vAlign w:val="center"/>
          </w:tcPr>
          <w:p>
            <w:pPr>
              <w:pStyle w:val="TableContents"/>
              <w:bidi w:val="0"/>
              <w:spacing w:before="0" w:after="1"/>
              <w:ind w:left="0" w:right="0" w:hanging="0"/>
              <w:jc w:val="left"/>
              <w:rPr/>
            </w:pPr>
            <w:r>
              <w:rPr/>
              <w:t> </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94,828</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pPr>
            <w:r>
              <w:rPr/>
              <w:t>​</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94,828</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pPr>
            <w:r>
              <w:rPr/>
              <w:t>—</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unvested -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207,671</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to vest - June 30, 2026</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207,671</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grants restricted stock awards and restricted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$0.2 million and $0.5 million of share-based compensation expense related to the vesting of the restricted stock awards and stock options during the three and six months ended June 30, 2026. As of June 30, 2026, total unrecognized cost for restricted stock units and stock options was $0.7 million, which is expected to be recognized over the remaining period of 1.1 years.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78" w:name="_f38d9c17_7287_4204_9ad2_3736e1e7e7fb_3"/>
      <w:bookmarkStart w:id="1279" w:name="_f38d9c17_7287_4204_9ad2_3736e1e7e7fb_2"/>
      <w:bookmarkStart w:id="1280" w:name="_f38d9c17_7287_4204_9ad2_3736e1e7e7fb"/>
      <w:bookmarkStart w:id="1281" w:name="Tc_gAZ65PssmkSuXXijlLK7YQ_2_0"/>
      <w:bookmarkStart w:id="1282" w:name="Tc_Kj9Dar_7n0SdtA80jt4xfA_1_2"/>
      <w:bookmarkStart w:id="1283" w:name="Tc_8e1YCW-DqkqoWZA1sVCpww_1_0"/>
      <w:bookmarkStart w:id="1284" w:name="_de29ba4b_6ef2_4ebf_a64c_745510ca47f4"/>
      <w:bookmarkStart w:id="1285" w:name="_f38d9c17_7287_4204_9ad2_3736e1e7e7fb_3"/>
      <w:bookmarkStart w:id="1286" w:name="_f38d9c17_7287_4204_9ad2_3736e1e7e7fb_2"/>
      <w:bookmarkStart w:id="1287" w:name="_f38d9c17_7287_4204_9ad2_3736e1e7e7fb"/>
      <w:bookmarkStart w:id="1288" w:name="Tc_gAZ65PssmkSuXXijlLK7YQ_2_0"/>
      <w:bookmarkStart w:id="1289" w:name="Tc_Kj9Dar_7n0SdtA80jt4xfA_1_2"/>
      <w:bookmarkStart w:id="1290" w:name="Tc_8e1YCW-DqkqoWZA1sVCpww_1_0"/>
      <w:bookmarkStart w:id="1291" w:name="_de29ba4b_6ef2_4ebf_a64c_745510ca47f4"/>
      <w:bookmarkEnd w:id="1285"/>
      <w:bookmarkEnd w:id="1286"/>
      <w:bookmarkEnd w:id="1287"/>
      <w:bookmarkEnd w:id="1288"/>
      <w:bookmarkEnd w:id="1289"/>
      <w:bookmarkEnd w:id="1290"/>
      <w:bookmarkEnd w:id="1291"/>
    </w:p>
    <w:tbl>
      <w:tblPr>
        <w:tblW w:w="1637" w:type="dxa"/>
        <w:jc w:val="left"/>
        <w:tblInd w:w="0" w:type="dxa"/>
        <w:tblLayout w:type="fixed"/>
        <w:tblCellMar>
          <w:top w:w="0" w:type="dxa"/>
          <w:left w:w="0" w:type="dxa"/>
          <w:bottom w:w="0" w:type="dxa"/>
          <w:right w:w="0" w:type="dxa"/>
        </w:tblCellMar>
      </w:tblPr>
      <w:tblGrid>
        <w:gridCol w:w="376"/>
        <w:gridCol w:w="126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10.</w:t>
            </w:r>
          </w:p>
        </w:tc>
        <w:tc>
          <w:tcPr>
            <w:tcW w:w="126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WARRANTS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the warrants outstanding as of June 30, 2026 and December 31, 2025:</w:t>
      </w:r>
    </w:p>
    <w:tbl>
      <w:tblPr>
        <w:tblW w:w="3468" w:type="dxa"/>
        <w:jc w:val="left"/>
        <w:tblInd w:w="0" w:type="dxa"/>
        <w:tblLayout w:type="fixed"/>
        <w:tblCellMar>
          <w:top w:w="0" w:type="dxa"/>
          <w:left w:w="0" w:type="dxa"/>
          <w:bottom w:w="0" w:type="dxa"/>
          <w:right w:w="0" w:type="dxa"/>
        </w:tblCellMar>
      </w:tblPr>
      <w:tblGrid>
        <w:gridCol w:w="1441"/>
        <w:gridCol w:w="346"/>
        <w:gridCol w:w="168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15035" cy="175260"/>
                      <wp:effectExtent l="0" t="0" r="0" b="0"/>
                      <wp:wrapNone/>
                      <wp:docPr id="169" name="Frame16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067435" cy="175260"/>
                      <wp:effectExtent l="0" t="0" r="0" b="0"/>
                      <wp:wrapNone/>
                      <wp:docPr id="171" name="Frame171"/>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Class of Warrants</w:t>
            </w:r>
          </w:p>
        </w:tc>
        <w:tc>
          <w:tcPr>
            <w:tcW w:w="346" w:type="dxa"/>
            <w:tcBorders/>
            <w:vAlign w:val="center"/>
          </w:tcPr>
          <w:p>
            <w:pPr>
              <w:pStyle w:val="TableContents"/>
              <w:bidi w:val="0"/>
              <w:spacing w:before="0" w:after="1"/>
              <w:ind w:left="0" w:right="0" w:hanging="0"/>
              <w:jc w:val="left"/>
              <w:rPr/>
            </w:pPr>
            <w:r>
              <w:rPr/>
              <w:t>  ​ ​ ​</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Outstanding</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15,147,958</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Each whole warrant entitles the registered holder to purchase one share of Class A common stock at a price of $11.50 per share. A holder may exercise its warrants only for a whole number of shares of Class A common stock. No fractional warrants will be issued upon separation of the units and only whole warrants will trade. The Company may redeem the warrants at a price of $0.01 per share if the closing price of the Company’s Class A common stock equals or exceeds $18.00 per share for any 20 trading days within a 30-trading day period. The warrants will expire five years after the Closing Date or earlier upon redemption or liquidation.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warrants are classified as derivative liabilities under ASC Topic 480 or ASC Topic 815. At June 30, 2026 and December 31, 2025, the fair value of the warrant liabilities is approximately $2.3 million and is included in accounts payable, accrued expenses and other liabilities on the accompanying condensed consolidated statements of financial condition. For the three and six months ended June 30, 2026 included in other expenses on the condensed consolidated statements of operations is an unrealized loss on the warrants in the amount of approximately $0.8 million and $0.03 million, respectively. For the three and six months ended June 30, 2025, included in other expenses on the condensed consolidated statements of operations is an unrealized loss of $0.1 million and $0.3 million,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027" w:type="dxa"/>
        <w:jc w:val="left"/>
        <w:tblInd w:w="0" w:type="dxa"/>
        <w:tblLayout w:type="fixed"/>
        <w:tblCellMar>
          <w:top w:w="0" w:type="dxa"/>
          <w:left w:w="0" w:type="dxa"/>
          <w:bottom w:w="0" w:type="dxa"/>
          <w:right w:w="0" w:type="dxa"/>
        </w:tblCellMar>
      </w:tblPr>
      <w:tblGrid>
        <w:gridCol w:w="376"/>
        <w:gridCol w:w="165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16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year ending December 31, 2025, Binah Capital has elected to file a consolidated tax return which will include all subsidiaries including Binah Capital Corp., BMS, the PKSH Entities, the Cabot Entities and WEG. Therefore, these consolidated financial statements include an income tax provision for all the taxable entities. Deferred tax assets and liabilities are recognized for the future tax consequences attributable to differences between the financial statement carrying amount of existing assets and liabilities and their respective tax bases and net operating loss carryforwards.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effective tax rate was approximately 20% and 27% for the three and six months ended June 30, 2026. The effective income tax rate was approximately (17)% and 58% for the three and six months ended June 30, 2025. The effective rates differed from the statutory rate primarily due to state taxes, warrant revaluations, and other permanent differences. </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292" w:name="Tc_MDxt57LRQ0eykLhXH4ZJFw_7_0"/>
      <w:bookmarkStart w:id="1293" w:name="Tc_01OfOgiP90ihI2oRcDO6Xg_6_0"/>
      <w:bookmarkStart w:id="1294" w:name="Tc_L6KUMEG5OkClf-H9chgrLA_5_0"/>
      <w:bookmarkStart w:id="1295" w:name="Tc_UIywyPHE706SKcZa352NtA_4_0"/>
      <w:bookmarkStart w:id="1296" w:name="Tc_9Bl9vJaMZU2ZUqvhlxWh7g_3_8"/>
      <w:bookmarkStart w:id="1297" w:name="Tc_OR44vAydz0yEZpo1_FBpFg_3_6"/>
      <w:bookmarkStart w:id="1298" w:name="Tc_E7l67JnbLE-FvpInhvXA_g_3_4"/>
      <w:bookmarkStart w:id="1299" w:name="Tc_Xo4I3ZKN70GpDLPcA1UjgQ_3_2"/>
      <w:bookmarkStart w:id="1300" w:name="Tc__n8CH1JOM0ykgCadpq9isw_2_8"/>
      <w:bookmarkStart w:id="1301" w:name="Tc_1e9BwxYE5ECQoHtii1QqsA_2_6"/>
      <w:bookmarkStart w:id="1302" w:name="Tc_4oCiTKck1k6gKsig0rYeJg_2_4"/>
      <w:bookmarkStart w:id="1303" w:name="Tc_qFZRMwaFJE2kKg24vuaLHg_2_2"/>
      <w:bookmarkStart w:id="1304" w:name="Tc_ASj6fH1-8UCwfN6V3RdjNw_1_8"/>
      <w:bookmarkStart w:id="1305" w:name="Tc_KjABn4VNaEunZ7HDSj-c8g_1_6"/>
      <w:bookmarkStart w:id="1306" w:name="Tc_evc_WdN4_kOLItL4_Uzp9w_1_4"/>
      <w:bookmarkStart w:id="1307" w:name="Tc_WFle0UCT_Ee9_zCsxguZ_w_1_2"/>
      <w:bookmarkStart w:id="1308" w:name="_8c2bb219_2220_4c0d_a46f_18e997eeca5d"/>
      <w:bookmarkStart w:id="1309" w:name="Tc_f9ld_1ZiR0Ssz5mOAohe7A_14_11"/>
      <w:bookmarkStart w:id="1310" w:name="Tc_W2srJq2CVUmtgQF5XLW4sg_14_8"/>
      <w:bookmarkStart w:id="1311" w:name="Tc_LKMW7lXLckC9763ilRx8dw_14_5"/>
      <w:bookmarkStart w:id="1312" w:name="Tc_un18iLfylE2_9vAZk0My8Q_14_2"/>
      <w:bookmarkStart w:id="1313" w:name="Tc__bhlvRWxi0iW0EJkMUyeQA_14_0"/>
      <w:bookmarkStart w:id="1314" w:name="Tc_0LFg0t2iHU-OKQXcHdLbRg_13_11"/>
      <w:bookmarkStart w:id="1315" w:name="Tc__HEbqrWp5kGP9wDWOffn0Q_13_8"/>
      <w:bookmarkStart w:id="1316" w:name="Tc_vhxXq5V4n0aP8nK7N6yd6Q_13_5"/>
      <w:bookmarkStart w:id="1317" w:name="Tc__nmivt9Lyk27trz7qCIFRA_13_2"/>
      <w:bookmarkStart w:id="1318" w:name="Tc_7wxFcXsNM0O7Zh6NIsOv7A_13_0"/>
      <w:bookmarkStart w:id="1319" w:name="Tc_aGyECDyzJkeKM4Z38TW9kA_12_0"/>
      <w:bookmarkStart w:id="1320" w:name="Tc_NWCSEk7R7UahprYrJgaQJg_11_0"/>
      <w:bookmarkStart w:id="1321" w:name="Tc_M2e0D8-MeUyNdEx0MeS4Pw_10_12"/>
      <w:bookmarkStart w:id="1322" w:name="Tc_OeOgGSJSr0eXT23rqY6gmA_10_6"/>
      <w:bookmarkStart w:id="1323" w:name="Tc_YVg2ki81MUSmrQS5Mg1V_A_10_0"/>
      <w:bookmarkStart w:id="1324" w:name="Tc_ltY7UxPC9Ee8ZdEU4531vw_9_0"/>
      <w:bookmarkStart w:id="1325" w:name="Tc_6ztFOBl7kkyskuCpcLWBcw_8_0"/>
      <w:bookmarkStart w:id="1326" w:name="Tc_zSPdCG6A40CqksuaLV6DBQ_7_0"/>
      <w:bookmarkStart w:id="1327" w:name="Tc_TJ-SqDh3g02-dnZb3CTZtg_6_0"/>
      <w:bookmarkStart w:id="1328" w:name="Tc_1dxUCR9e4k-FjXi8wDXPow_5_0"/>
      <w:bookmarkStart w:id="1329" w:name="Tc_z1R7wFTKwUuQgsp_H71UkQ_4_11"/>
      <w:bookmarkStart w:id="1330" w:name="Tc_l3kKBMDpCUy_SAoSldsnlg_4_8"/>
      <w:bookmarkStart w:id="1331" w:name="Tc_MRvc7U5XL0eQzkprUwFemg_4_5"/>
      <w:bookmarkStart w:id="1332" w:name="Tc_8TldK15Gj0uos1ez3TORaw_4_2"/>
      <w:bookmarkStart w:id="1333" w:name="Tc_hwKSG34_F0yo1f001lqDOw_4_0"/>
      <w:bookmarkStart w:id="1334" w:name="Tc_o7L6HJ1NBEKqnfyyo2HQxw_3_11"/>
      <w:bookmarkStart w:id="1335" w:name="Tc_557Bkja_REaFmKbETG1eeg_3_8"/>
      <w:bookmarkStart w:id="1336" w:name="Tc_mDT2KioEx06zCotmVWFKZw_3_5"/>
      <w:bookmarkStart w:id="1337" w:name="Tc_OP4e81xTH0KL9DnbHuFqYQ_3_2"/>
      <w:bookmarkStart w:id="1338" w:name="Tc_EEJyE4AM00Cd6ziV-GcBHQ_2_11"/>
      <w:bookmarkStart w:id="1339" w:name="Tc_jBGyjhWADEClYKXEixVyQA_2_8"/>
      <w:bookmarkStart w:id="1340" w:name="Tc_1gmKiz0eoUOhJUa5tF2k3g_2_5"/>
      <w:bookmarkStart w:id="1341" w:name="Tc_7eQJfh1U30ynF7tIIvwUbA_2_2"/>
      <w:bookmarkStart w:id="1342" w:name="Tc_hKlx-fd2cUy_3SqmggITzg_1_11"/>
      <w:bookmarkStart w:id="1343" w:name="Tc_MX58_YWTdESsPekGzFY_tA_1_8"/>
      <w:bookmarkStart w:id="1344" w:name="Tc_VmBKF8U2eUi0MENDcFapNg_1_5"/>
      <w:bookmarkStart w:id="1345" w:name="Tc_Ro950rrBLkS_SZmQeN1J7w_1_2"/>
      <w:bookmarkStart w:id="1346" w:name="_d1e6c8ae_c998_4c1a_aa46_1f87ccf87a60"/>
      <w:bookmarkStart w:id="1347" w:name="_93f4f2ca_ee29_4384_9ed1_7635806dac3c"/>
      <w:bookmarkStart w:id="1348" w:name="Tc_MDxt57LRQ0eykLhXH4ZJFw_7_0"/>
      <w:bookmarkStart w:id="1349" w:name="Tc_01OfOgiP90ihI2oRcDO6Xg_6_0"/>
      <w:bookmarkStart w:id="1350" w:name="Tc_L6KUMEG5OkClf-H9chgrLA_5_0"/>
      <w:bookmarkStart w:id="1351" w:name="Tc_UIywyPHE706SKcZa352NtA_4_0"/>
      <w:bookmarkStart w:id="1352" w:name="Tc_9Bl9vJaMZU2ZUqvhlxWh7g_3_8"/>
      <w:bookmarkStart w:id="1353" w:name="Tc_OR44vAydz0yEZpo1_FBpFg_3_6"/>
      <w:bookmarkStart w:id="1354" w:name="Tc_E7l67JnbLE-FvpInhvXA_g_3_4"/>
      <w:bookmarkStart w:id="1355" w:name="Tc_Xo4I3ZKN70GpDLPcA1UjgQ_3_2"/>
      <w:bookmarkStart w:id="1356" w:name="Tc__n8CH1JOM0ykgCadpq9isw_2_8"/>
      <w:bookmarkStart w:id="1357" w:name="Tc_1e9BwxYE5ECQoHtii1QqsA_2_6"/>
      <w:bookmarkStart w:id="1358" w:name="Tc_4oCiTKck1k6gKsig0rYeJg_2_4"/>
      <w:bookmarkStart w:id="1359" w:name="Tc_qFZRMwaFJE2kKg24vuaLHg_2_2"/>
      <w:bookmarkStart w:id="1360" w:name="Tc_ASj6fH1-8UCwfN6V3RdjNw_1_8"/>
      <w:bookmarkStart w:id="1361" w:name="Tc_KjABn4VNaEunZ7HDSj-c8g_1_6"/>
      <w:bookmarkStart w:id="1362" w:name="Tc_evc_WdN4_kOLItL4_Uzp9w_1_4"/>
      <w:bookmarkStart w:id="1363" w:name="Tc_WFle0UCT_Ee9_zCsxguZ_w_1_2"/>
      <w:bookmarkStart w:id="1364" w:name="_8c2bb219_2220_4c0d_a46f_18e997eeca5d"/>
      <w:bookmarkStart w:id="1365" w:name="Tc_f9ld_1ZiR0Ssz5mOAohe7A_14_11"/>
      <w:bookmarkStart w:id="1366" w:name="Tc_W2srJq2CVUmtgQF5XLW4sg_14_8"/>
      <w:bookmarkStart w:id="1367" w:name="Tc_LKMW7lXLckC9763ilRx8dw_14_5"/>
      <w:bookmarkStart w:id="1368" w:name="Tc_un18iLfylE2_9vAZk0My8Q_14_2"/>
      <w:bookmarkStart w:id="1369" w:name="Tc__bhlvRWxi0iW0EJkMUyeQA_14_0"/>
      <w:bookmarkStart w:id="1370" w:name="Tc_0LFg0t2iHU-OKQXcHdLbRg_13_11"/>
      <w:bookmarkStart w:id="1371" w:name="Tc__HEbqrWp5kGP9wDWOffn0Q_13_8"/>
      <w:bookmarkStart w:id="1372" w:name="Tc_vhxXq5V4n0aP8nK7N6yd6Q_13_5"/>
      <w:bookmarkStart w:id="1373" w:name="Tc__nmivt9Lyk27trz7qCIFRA_13_2"/>
      <w:bookmarkStart w:id="1374" w:name="Tc_7wxFcXsNM0O7Zh6NIsOv7A_13_0"/>
      <w:bookmarkStart w:id="1375" w:name="Tc_aGyECDyzJkeKM4Z38TW9kA_12_0"/>
      <w:bookmarkStart w:id="1376" w:name="Tc_NWCSEk7R7UahprYrJgaQJg_11_0"/>
      <w:bookmarkStart w:id="1377" w:name="Tc_M2e0D8-MeUyNdEx0MeS4Pw_10_12"/>
      <w:bookmarkStart w:id="1378" w:name="Tc_OeOgGSJSr0eXT23rqY6gmA_10_6"/>
      <w:bookmarkStart w:id="1379" w:name="Tc_YVg2ki81MUSmrQS5Mg1V_A_10_0"/>
      <w:bookmarkStart w:id="1380" w:name="Tc_ltY7UxPC9Ee8ZdEU4531vw_9_0"/>
      <w:bookmarkStart w:id="1381" w:name="Tc_6ztFOBl7kkyskuCpcLWBcw_8_0"/>
      <w:bookmarkStart w:id="1382" w:name="Tc_zSPdCG6A40CqksuaLV6DBQ_7_0"/>
      <w:bookmarkStart w:id="1383" w:name="Tc_TJ-SqDh3g02-dnZb3CTZtg_6_0"/>
      <w:bookmarkStart w:id="1384" w:name="Tc_1dxUCR9e4k-FjXi8wDXPow_5_0"/>
      <w:bookmarkStart w:id="1385" w:name="Tc_z1R7wFTKwUuQgsp_H71UkQ_4_11"/>
      <w:bookmarkStart w:id="1386" w:name="Tc_l3kKBMDpCUy_SAoSldsnlg_4_8"/>
      <w:bookmarkStart w:id="1387" w:name="Tc_MRvc7U5XL0eQzkprUwFemg_4_5"/>
      <w:bookmarkStart w:id="1388" w:name="Tc_8TldK15Gj0uos1ez3TORaw_4_2"/>
      <w:bookmarkStart w:id="1389" w:name="Tc_hwKSG34_F0yo1f001lqDOw_4_0"/>
      <w:bookmarkStart w:id="1390" w:name="Tc_o7L6HJ1NBEKqnfyyo2HQxw_3_11"/>
      <w:bookmarkStart w:id="1391" w:name="Tc_557Bkja_REaFmKbETG1eeg_3_8"/>
      <w:bookmarkStart w:id="1392" w:name="Tc_mDT2KioEx06zCotmVWFKZw_3_5"/>
      <w:bookmarkStart w:id="1393" w:name="Tc_OP4e81xTH0KL9DnbHuFqYQ_3_2"/>
      <w:bookmarkStart w:id="1394" w:name="Tc_EEJyE4AM00Cd6ziV-GcBHQ_2_11"/>
      <w:bookmarkStart w:id="1395" w:name="Tc_jBGyjhWADEClYKXEixVyQA_2_8"/>
      <w:bookmarkStart w:id="1396" w:name="Tc_1gmKiz0eoUOhJUa5tF2k3g_2_5"/>
      <w:bookmarkStart w:id="1397" w:name="Tc_7eQJfh1U30ynF7tIIvwUbA_2_2"/>
      <w:bookmarkStart w:id="1398" w:name="Tc_hKlx-fd2cUy_3SqmggITzg_1_11"/>
      <w:bookmarkStart w:id="1399" w:name="Tc_MX58_YWTdESsPekGzFY_tA_1_8"/>
      <w:bookmarkStart w:id="1400" w:name="Tc_VmBKF8U2eUi0MENDcFapNg_1_5"/>
      <w:bookmarkStart w:id="1401" w:name="Tc_Ro950rrBLkS_SZmQeN1J7w_1_2"/>
      <w:bookmarkStart w:id="1402" w:name="_d1e6c8ae_c998_4c1a_aa46_1f87ccf87a60"/>
      <w:bookmarkStart w:id="1403" w:name="_93f4f2ca_ee29_4384_9ed1_7635806dac3c"/>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12.</w:t>
            </w:r>
          </w:p>
        </w:tc>
        <w:tc>
          <w:tcPr>
            <w:tcW w:w="321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NET INCOME (LOSS) PER SHARE</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Series A and Series B Preferred Stock do not have similar economic rights to the common stock and management does not consider them to be in substance common shares for earnings per share (“EPS”) purposes. As a result, the weighted average Series A and Series B Preferred Stock outstanding during the period was not included in the calculation of weighted average common stock outstanding. Diluted earnings per share is computed by including the dilutive effect of the conversion of all potential common stock equivalents (which includes warrants, Series A Preferred Stock, Series B Preferred Stock, options and unvested restricted stock) and accordingly, as applicable adjusting net income to add back any changes in earnings that reduce earnings per common share in the period associated with the potential common stock equivalents.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computation of income per share and weighted average of the Company’s common stock outstanding for the three and six months ended June 30, 2026 and 2025 is as follows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447"/>
        <w:gridCol w:w="346"/>
        <w:gridCol w:w="325"/>
        <w:gridCol w:w="1043"/>
        <w:gridCol w:w="346"/>
        <w:gridCol w:w="321"/>
        <w:gridCol w:w="1048"/>
        <w:gridCol w:w="346"/>
        <w:gridCol w:w="307"/>
        <w:gridCol w:w="986"/>
        <w:gridCol w:w="346"/>
        <w:gridCol w:w="302"/>
        <w:gridCol w:w="1042"/>
      </w:tblGrid>
      <w:tr>
        <w:trPr/>
        <w:tc>
          <w:tcPr>
            <w:tcW w:w="34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6375" cy="175260"/>
                      <wp:effectExtent l="0" t="0" r="0" b="0"/>
                      <wp:wrapNone/>
                      <wp:docPr id="173" name="Frame173"/>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62305" cy="175260"/>
                      <wp:effectExtent l="0" t="0" r="0" b="0"/>
                      <wp:wrapNone/>
                      <wp:docPr id="174" name="Frame174"/>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3835" cy="175260"/>
                      <wp:effectExtent l="0" t="0" r="0" b="0"/>
                      <wp:wrapNone/>
                      <wp:docPr id="176" name="Frame176"/>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65480" cy="175260"/>
                      <wp:effectExtent l="0" t="0" r="0" b="0"/>
                      <wp:wrapNone/>
                      <wp:docPr id="177" name="Frame177"/>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94945" cy="175260"/>
                      <wp:effectExtent l="0" t="0" r="0" b="0"/>
                      <wp:wrapNone/>
                      <wp:docPr id="179" name="Frame17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26110" cy="175260"/>
                      <wp:effectExtent l="0" t="0" r="0" b="0"/>
                      <wp:wrapNone/>
                      <wp:docPr id="180" name="Frame180"/>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91770" cy="175260"/>
                      <wp:effectExtent l="0" t="0" r="0" b="0"/>
                      <wp:wrapNone/>
                      <wp:docPr id="182" name="Frame18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61670" cy="175260"/>
                      <wp:effectExtent l="0" t="0" r="0" b="0"/>
                      <wp:wrapNone/>
                      <wp:docPr id="183" name="Frame183"/>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136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12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134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36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34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2,238</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3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preferred dividends</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3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B preferred dividends</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available to common shareholders</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1,446</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3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for basic and diluted calculation</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0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right"/>
              <w:rPr/>
            </w:pPr>
            <w:r>
              <w:rPr/>
              <w:t>​</w:t>
            </w:r>
          </w:p>
        </w:tc>
      </w:tr>
      <w:tr>
        <w:trPr/>
        <w:tc>
          <w:tcPr>
            <w:tcW w:w="3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shares used in basic computation</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16,813</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16,782</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r>
      <w:tr>
        <w:trPr/>
        <w:tc>
          <w:tcPr>
            <w:tcW w:w="3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unvested stock units</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shares used in diluted computation</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17,060</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17,031</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r>
      <w:tr>
        <w:trPr/>
        <w:tc>
          <w:tcPr>
            <w:tcW w:w="3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0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42" w:type="dxa"/>
            <w:tcBorders/>
            <w:shd w:fill="CCEEFF" w:val="clear"/>
            <w:vAlign w:val="center"/>
          </w:tcPr>
          <w:p>
            <w:pPr>
              <w:pStyle w:val="TableContents"/>
              <w:bidi w:val="0"/>
              <w:spacing w:before="0" w:after="1"/>
              <w:ind w:left="0" w:right="0" w:hanging="0"/>
              <w:jc w:val="right"/>
              <w:rPr/>
            </w:pPr>
            <w:r>
              <w:rPr/>
              <w:t>​</w:t>
            </w:r>
          </w:p>
        </w:tc>
      </w:tr>
      <w:tr>
        <w:trPr/>
        <w:tc>
          <w:tcPr>
            <w:tcW w:w="3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4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3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following table details the securities that have been excluded from the calculation of weighted-average shares for diluted earnings per share for the period presented as they were anti-dilutive </w:t>
      </w:r>
      <w:r>
        <w:rPr>
          <w:rFonts w:ascii="Times New Roman;Times;serif" w:hAnsi="Times New Roman;Times;serif"/>
          <w:i/>
          <w:sz w:val="20"/>
        </w:rPr>
        <w:t>(in thousands)</w:t>
      </w:r>
      <w:r>
        <w:rPr>
          <w:rFonts w:ascii="Times New Roman;Times;serif" w:hAnsi="Times New Roman;Times;serif"/>
          <w:sz w:val="20"/>
        </w:rPr>
        <w:t>.</w:t>
      </w:r>
    </w:p>
    <w:tbl>
      <w:tblPr>
        <w:tblW w:w="9489" w:type="dxa"/>
        <w:jc w:val="left"/>
        <w:tblInd w:w="0" w:type="dxa"/>
        <w:tblLayout w:type="fixed"/>
        <w:tblCellMar>
          <w:top w:w="0" w:type="dxa"/>
          <w:left w:w="0" w:type="dxa"/>
          <w:bottom w:w="0" w:type="dxa"/>
          <w:right w:w="0" w:type="dxa"/>
        </w:tblCellMar>
      </w:tblPr>
      <w:tblGrid>
        <w:gridCol w:w="2026"/>
        <w:gridCol w:w="346"/>
        <w:gridCol w:w="1561"/>
        <w:gridCol w:w="346"/>
        <w:gridCol w:w="1561"/>
        <w:gridCol w:w="346"/>
        <w:gridCol w:w="1456"/>
        <w:gridCol w:w="346"/>
        <w:gridCol w:w="1501"/>
      </w:tblGrid>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preferred stock</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B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preparation of the current period financial statements, the Company identified an immaterial error in the calculation of EPS for the prior periods. The error did not impact net income, total equity, or cash flows. The EPS figures for the prior periods have been revised accordingly in the comparative presentation. Management has concluded that the correction is not material to the prior period financial statements and does not require restatement.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02" w:type="dxa"/>
        <w:jc w:val="left"/>
        <w:tblInd w:w="0" w:type="dxa"/>
        <w:tblLayout w:type="fixed"/>
        <w:tblCellMar>
          <w:top w:w="0" w:type="dxa"/>
          <w:left w:w="0" w:type="dxa"/>
          <w:bottom w:w="0" w:type="dxa"/>
          <w:right w:w="0" w:type="dxa"/>
        </w:tblCellMar>
      </w:tblPr>
      <w:tblGrid>
        <w:gridCol w:w="376"/>
        <w:gridCol w:w="3826"/>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13.</w:t>
            </w:r>
          </w:p>
        </w:tc>
        <w:tc>
          <w:tcPr>
            <w:tcW w:w="382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the assessment of a contingency indicates that it is probable that a material loss has been incurred and the amount of the liability can be estimated, then the estimated liability would be accrued in the accompanying condensed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can be no assurance that such matters will not materially and adversely affect the Company’s business, financial position, and results of operations or cash flows.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 defendant or respondent in various pending and threatened arbitrations, administrative proceedings and lawsuits seeking compensatory damages. Claim amounts are infrequently indicative of the actual amounts the Company will be liable for, if any. Many of these claimants also seek, in addition to compensatory damages, punitive or treble damages, and all seek interest, costs and fees. These matters arise in the normal course of business. The Company intends to vigorously defend itself in these actions, and the ultimate outcome of these matters cannot be determined at this time.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many lawsuits, arbitrations, and regulatory proceedings, it is not possible to determine whether a liability has been incurred or to estimate the amount of that liability until the matter is close to resolution. However, accruals are reviewed regularly and are adjusted to reflect management’s estimates of the impact of developments, rulings, advice of counsel and any other information pertinent to a particular matter.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Because of the inherent difficulty in predicting the ultimate outcome of legal and regulatory actions, management cannot predict with certainty the eventual loss or range of loss related to such matters. The Company believes, based upon current information, that the outcome of any such legal proceeding, claim, dispute, or investigation will not have a material effect on the Company’s financial position, results of operations or cash flows. However, the actual outcomes of such legal proceedings, claims, disputes, or investigations could be material to the Company’s operating results and cash flows for a particular future period as additional information is obtained.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activities of the Company’s customers are transacted on either a cash or margin basis through the facilities of its clearing broker. In margin transactions, the clearing broker extends credit to the customers, subject to various regulatory and margin requirements, collateralized by cash and securities in the customer’s account. In connection with these activities, the clearing broker may also execute and clear customer transactions involving the sale of securities not yet purchased.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may expose the Company to significant off-balance sheet risk in the event margin requirements are not sufficient to fully cover losses which the customers may incur. In the event the customers fail to satisfy their obligations to the clearing broker, the Company may be required to compensate the clearing broker for losses incurred on behalf of the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through its clearing broker, seeks to control the risk associated with its customers’ activities by requiring customers to maintain margin collateral in compliance with various regulatory and internal guidelines.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management of the Company had not been notified by any clearing brokers, nor were they otherwise aware of any potential losses relating to this indemnification.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57" w:type="dxa"/>
        <w:jc w:val="left"/>
        <w:tblInd w:w="0" w:type="dxa"/>
        <w:tblLayout w:type="fixed"/>
        <w:tblCellMar>
          <w:top w:w="0" w:type="dxa"/>
          <w:left w:w="0" w:type="dxa"/>
          <w:bottom w:w="0" w:type="dxa"/>
          <w:right w:w="0" w:type="dxa"/>
        </w:tblCellMar>
      </w:tblPr>
      <w:tblGrid>
        <w:gridCol w:w="376"/>
        <w:gridCol w:w="67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14.</w:t>
            </w:r>
          </w:p>
        </w:tc>
        <w:tc>
          <w:tcPr>
            <w:tcW w:w="67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COMMON STOCK, PREFERRED STOCK AND STOCKHOLDERS’ EQUITY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57,500,000 shares consisting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2,000,000</w:t>
            </w:r>
            <w:r>
              <w:rPr>
                <w:caps w:val="false"/>
                <w:smallCaps w:val="false"/>
              </w:rPr>
              <w:t xml:space="preserve"> </w:t>
            </w:r>
            <w:r>
              <w:rPr>
                <w:rFonts w:ascii="Times New Roman;Times;serif" w:hAnsi="Times New Roman;Times;serif"/>
                <w:b w:val="false"/>
                <w:i w:val="false"/>
                <w:caps w:val="false"/>
                <w:smallCaps w:val="false"/>
                <w:sz w:val="20"/>
              </w:rPr>
              <w:t>shares of Series A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1,662,000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June 30, 2026;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500,000</w:t>
            </w:r>
            <w:r>
              <w:rPr>
                <w:caps w:val="false"/>
                <w:smallCaps w:val="false"/>
              </w:rPr>
              <w:t xml:space="preserve"> </w:t>
            </w:r>
            <w:r>
              <w:rPr>
                <w:rFonts w:ascii="Times New Roman;Times;serif" w:hAnsi="Times New Roman;Times;serif"/>
                <w:b w:val="false"/>
                <w:i w:val="false"/>
                <w:caps w:val="false"/>
                <w:smallCaps w:val="false"/>
                <w:sz w:val="20"/>
              </w:rPr>
              <w:t>shares of Series B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150,000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June 30, 2026;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55,000,000</w:t>
            </w:r>
            <w:r>
              <w:rPr>
                <w:caps w:val="false"/>
                <w:smallCaps w:val="false"/>
              </w:rPr>
              <w:t xml:space="preserve"> </w:t>
            </w:r>
            <w:r>
              <w:rPr>
                <w:rFonts w:ascii="Times New Roman;Times;serif" w:hAnsi="Times New Roman;Times;serif"/>
                <w:b w:val="false"/>
                <w:i w:val="false"/>
                <w:caps w:val="false"/>
                <w:smallCaps w:val="false"/>
                <w:sz w:val="20"/>
              </w:rPr>
              <w:t>shares of Common Stock, par value $0.0001</w:t>
            </w:r>
            <w:r>
              <w:rPr>
                <w:caps w:val="false"/>
                <w:smallCaps w:val="false"/>
              </w:rPr>
              <w:t xml:space="preserve"> </w:t>
            </w:r>
            <w:r>
              <w:rPr>
                <w:rFonts w:ascii="Times New Roman;Times;serif" w:hAnsi="Times New Roman;Times;serif"/>
                <w:b w:val="false"/>
                <w:i w:val="false"/>
                <w:caps w:val="false"/>
                <w:smallCaps w:val="false"/>
                <w:sz w:val="20"/>
              </w:rPr>
              <w:t>per share, 17,060,131</w:t>
            </w:r>
            <w:r>
              <w:rPr>
                <w:caps w:val="false"/>
                <w:smallCaps w:val="false"/>
              </w:rPr>
              <w:t xml:space="preserve"> </w:t>
            </w:r>
            <w:r>
              <w:rPr>
                <w:rFonts w:ascii="Times New Roman;Times;serif" w:hAnsi="Times New Roman;Times;serif"/>
                <w:b w:val="false"/>
                <w:i w:val="false"/>
                <w:caps w:val="false"/>
                <w:smallCaps w:val="false"/>
                <w:sz w:val="20"/>
              </w:rPr>
              <w:t>shares issued and outstanding as of June 30, 2026.</w:t>
            </w:r>
          </w:p>
        </w:tc>
      </w:tr>
    </w:tbl>
    <w:p>
      <w:pPr>
        <w:pStyle w:val="TextBody"/>
        <w:bidi w:val="0"/>
        <w:spacing w:before="0" w:after="0"/>
        <w:ind w:left="720" w:right="0" w:hanging="0"/>
        <w:jc w:val="both"/>
        <w:rPr/>
      </w:pPr>
      <w:r>
        <w:rPr/>
        <w:t>​</w:t>
      </w:r>
    </w:p>
    <w:tbl>
      <w:tblPr>
        <w:tblW w:w="3992" w:type="dxa"/>
        <w:jc w:val="left"/>
        <w:tblInd w:w="0" w:type="dxa"/>
        <w:tblLayout w:type="fixed"/>
        <w:tblCellMar>
          <w:top w:w="0" w:type="dxa"/>
          <w:left w:w="0" w:type="dxa"/>
          <w:bottom w:w="0" w:type="dxa"/>
          <w:right w:w="0" w:type="dxa"/>
        </w:tblCellMar>
      </w:tblPr>
      <w:tblGrid>
        <w:gridCol w:w="376"/>
        <w:gridCol w:w="361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15.</w:t>
            </w:r>
          </w:p>
        </w:tc>
        <w:tc>
          <w:tcPr>
            <w:tcW w:w="3616"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NET CAPITAL REQUIREMENTS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operates four registered broker-dealers that are subject to the SEC Uniform Net Capital Rule (Rule 15c3-1). This requires the Company to maintain certain minimum net capital requirements. As of June 30, 2026 and December 31, 2025, all broker-dealers had net capital in excess of the required minimums.</w:t>
      </w:r>
    </w:p>
    <w:p>
      <w:pPr>
        <w:pStyle w:val="TextBody"/>
        <w:bidi w:val="0"/>
        <w:spacing w:before="0" w:after="240"/>
        <w:ind w:left="0" w:right="0" w:hanging="0"/>
        <w:jc w:val="both"/>
        <w:rPr/>
      </w:pPr>
      <w:r>
        <w:rPr/>
        <w:t>​</w:t>
      </w:r>
    </w:p>
    <w:tbl>
      <w:tblPr>
        <w:tblW w:w="4112" w:type="dxa"/>
        <w:jc w:val="left"/>
        <w:tblInd w:w="0" w:type="dxa"/>
        <w:tblLayout w:type="fixed"/>
        <w:tblCellMar>
          <w:top w:w="0" w:type="dxa"/>
          <w:left w:w="0" w:type="dxa"/>
          <w:bottom w:w="0" w:type="dxa"/>
          <w:right w:w="0" w:type="dxa"/>
        </w:tblCellMar>
      </w:tblPr>
      <w:tblGrid>
        <w:gridCol w:w="376"/>
        <w:gridCol w:w="373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16.</w:t>
            </w:r>
          </w:p>
        </w:tc>
        <w:tc>
          <w:tcPr>
            <w:tcW w:w="37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CREDIT RISK AND CONCENTRATIONS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credit losses and, consequently, believes that its receivables credit risk exposure beyond such allowances is limited.</w:t>
      </w:r>
    </w:p>
    <w:p>
      <w:pPr>
        <w:pStyle w:val="TextBody"/>
        <w:bidi w:val="0"/>
        <w:spacing w:before="0" w:after="240"/>
        <w:ind w:left="0" w:right="0" w:hanging="0"/>
        <w:jc w:val="both"/>
        <w:rPr/>
      </w:pPr>
      <w:r>
        <w:rPr/>
        <w:t>​</w:t>
      </w:r>
    </w:p>
    <w:tbl>
      <w:tblPr>
        <w:tblW w:w="2972" w:type="dxa"/>
        <w:jc w:val="left"/>
        <w:tblInd w:w="0" w:type="dxa"/>
        <w:tblLayout w:type="fixed"/>
        <w:tblCellMar>
          <w:top w:w="0" w:type="dxa"/>
          <w:left w:w="0" w:type="dxa"/>
          <w:bottom w:w="0" w:type="dxa"/>
          <w:right w:w="0" w:type="dxa"/>
        </w:tblCellMar>
      </w:tblPr>
      <w:tblGrid>
        <w:gridCol w:w="376"/>
        <w:gridCol w:w="259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17.</w:t>
            </w:r>
          </w:p>
        </w:tc>
        <w:tc>
          <w:tcPr>
            <w:tcW w:w="25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with the consummation of the Business Combination, the Board confirmed Craig Gould as Chief Executive Officer (“CEO”) and David Shane as Chief Financial Officer (“CFO”). The Company has concluded that its Chief Operating Decision Maker (“CODM”) of the group includes the CEO and CFO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 of the Company has determined that it has one reportable segment, given the common nature of the Company’s operations, products and services, and regulatory environment. The Company provides a platform of brokerage and investment advisory services to independent financial advisors and advisors at other financial services companies from which the Company derives its revenues and incurs expenses. See Note 3 – </w:t>
      </w:r>
      <w:r>
        <w:rPr>
          <w:rFonts w:ascii="Times New Roman;Times;serif" w:hAnsi="Times New Roman;Times;serif"/>
          <w:i/>
          <w:sz w:val="20"/>
        </w:rPr>
        <w:t>Revenue from Contracts with Customers</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CODM regularly reviews net income (loss) before the provision or benefit for income taxes as presented in the Company’s condensed consolidated statements of operations for purposes of assessing performance and making decisions regarding the allocation of resources. Expenses regularly reviewed by the CODM include those line items reported on the Company’s condensed consolidated statements of operations, the most significant of which includes commissions and fees, employee compensation and benefits and professional fees. See the condensed consolidated statements of operations and Note 2 – </w:t>
      </w:r>
      <w:r>
        <w:rPr>
          <w:rFonts w:ascii="Times New Roman;Times;serif" w:hAnsi="Times New Roman;Times;serif"/>
          <w:i/>
          <w:sz w:val="20"/>
        </w:rPr>
        <w:t>Summary of Significant Accounts Policies</w:t>
      </w:r>
      <w:r>
        <w:rPr>
          <w:rFonts w:ascii="Times New Roman;Times;serif" w:hAnsi="Times New Roman;Times;serif"/>
          <w:sz w:val="20"/>
        </w:rPr>
        <w:t xml:space="preserve"> for additional information about these line items and the related accounting policies.</w:t>
      </w:r>
    </w:p>
    <w:p>
      <w:pPr>
        <w:pStyle w:val="TextBody"/>
        <w:bidi w:val="0"/>
        <w:spacing w:before="0" w:after="240"/>
        <w:ind w:left="0" w:right="0" w:hanging="0"/>
        <w:jc w:val="both"/>
        <w:rPr/>
      </w:pPr>
      <w:r>
        <w:rPr/>
        <w:t>​</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18.</w:t>
            </w:r>
          </w:p>
        </w:tc>
        <w:tc>
          <w:tcPr>
            <w:tcW w:w="22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that occurred after the balance sheet date up to the date that the condensed consolidated financial statements were available to be issued.</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04" w:name="Item2ManagementsDiscussionandAnalysisofF"/>
      <w:bookmarkStart w:id="1405" w:name="_c5553e4c_8c5e_4420_9de1_47d9ce72cce4"/>
      <w:bookmarkEnd w:id="1404"/>
      <w:bookmarkEnd w:id="140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Any reference to “Binah Capital Group, Inc.” or the “Company,” “we,” “our” or “us” refers to Binah Capital Group, Inc. and our consolidated subsidiaries, unless the context otherwise requires. The following Management’s Discussion and Analysis of Financial Condition and Results of Operations should be read in conjunction with the condensed consolidated financial statements and the notes thereto contained elsewhere in this Quarterly Report on Form 10-Q and with our audited consolidated financial statements and the sections entitled “Part I, Item 1A. Risk Factors” and “Part II, Item 7. Management’s Discussion and Analysis of Financial Condition and Results of Operations” included in our Annual Report on Form 10-K for the year ended December 31, 2025, as filed with the SEC. Except for historical information, the discussion in this section contains forward-looking statements that involve risks and uncertainties, as discussed in the “Cautionary Note Regarding Forward Looking Statements.” Future results could differ materially from those discussed below for many reasons, including the risks described in Item 1A—</w:t>
      </w:r>
      <w:r>
        <w:rPr>
          <w:rFonts w:ascii="Times New Roman;Times;serif" w:hAnsi="Times New Roman;Times;serif"/>
          <w:sz w:val="20"/>
        </w:rPr>
        <w:t>“</w:t>
      </w:r>
      <w:r>
        <w:rPr>
          <w:rFonts w:ascii="Times New Roman;Times;serif" w:hAnsi="Times New Roman;Times;serif"/>
          <w:i/>
          <w:sz w:val="20"/>
        </w:rPr>
        <w:t>Risk Factors” in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 leading consolidator of retail wealth management businesses that owns and operates ten entities, four of which are broker-dealers, three of which are registered investment advisors, and three of which are insurance entities, that have over 1,600 registered individuals working within the financial services industries.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Sources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is derived primarily from fees and commissions from products and advisory services offered by our advisors to their clients, a substantial portion of which we pay out to our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Summary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Results for the three and six-month period ended June 30, 2026 included net income of approximately $0.3 million and $2.2 million and total revenue of approximately $46.5 million and $95.2 million, respectively, which compares to a net income (loss) and total revenue of $(0.7) million and $0.4 million and approximately $41.5 million and $90.4 million, respectively, for the three and six-month period ended June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advisory and brokerage assets served were $31.6 billion at June 30, 2026, compared to $27.8 billion at June 30, 2025. Total net new assets were $(2.2) billion and $(1.7) billion for the three and six-month period ended June 30, 2026, respectively, compared to $(0.9) billion and $(1.1) billion for the same period in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advisory assets were $(0.1) billion and $0.0 billion for the three-month and six-month period ended June 30, 2026 compared to $(0.1) billion and $0.0 billion for the same period in 2025. Advisory assets were $3.3 billion at June 30, 2026, which is an increase of 20.5% as compared to $2.7 billion at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brokerage assets were $(2.1) billion and $(1.7) for the three and six-month period ended June 30, 2026, compared to $(0.8) billion and $(1.1) billion for the same period in 2025. Brokerage assets were $28.3 billion at June 30, 2026, up 12.7% from $25.1 billion at June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Profit Trend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a non-GAAP financial measure, was $9.8 million and $20.0 million for the three-month and six-month period ended June 30, 2026, an increase of 12.6% and 15.3% from $8.8 million and $17.4 million for the same period in 2025. See the “</w:t>
      </w:r>
      <w:r>
        <w:rPr>
          <w:rFonts w:ascii="Times New Roman;Times;serif" w:hAnsi="Times New Roman;Times;serif"/>
          <w:i/>
          <w:sz w:val="20"/>
        </w:rPr>
        <w:t>Key Performance Metrics and Non-GAAP Financial Measures”</w:t>
      </w:r>
      <w:r>
        <w:rPr>
          <w:rFonts w:ascii="Times New Roman;Times;serif" w:hAnsi="Times New Roman;Times;serif"/>
          <w:sz w:val="20"/>
        </w:rPr>
        <w:t xml:space="preserve"> section for additional information on gross profit.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Metrics and 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focus on several key metrics in evaluating the success of our business relationships and our resulting financial position and operating performance. Our key metrics of Gross Profit and EBITDA are “non-GAAP financial measures.” Our management periodically uses certain “non-GAAP financial measures,” as such term is defined under the rules of the SEC, to supplement our financial information presented in accordance with GAAP and to clarify and enhance understanding of past performance and prospects for the future.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GAAP. Management believes that the non-GAAP financial measures of Gross Profit and EBITDA provide investors and analysts useful insight into our financial position and operating performance. Any non-GAAP measure provided should be viewed in addition to, and not as an alternative to, the most directly comparable measure determined in accordance with U.S. GAAP. Further, the calculation of these non-GAAP financial measures may differ from the calculation of similarly titled financial measures presented by other companies and therefore may not be comparable among companies.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is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EBITDA and Adjusted EBITDA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EBITDA is a non-GAAP financial measure defined as net income plus interest expense, provision for income taxes, and depreciation and amortization. Adjusted EBITDA is defined as EBITDA, a non-GAAP measure, plus non-recurring costs related to our business combination, costs related to the re-financing of the senior credit facility, and share-based compensation costs. The Company presents EBITDA and Adjusted EBITDA because management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key operating, business and financial metrics are as follows:</w:t>
      </w:r>
    </w:p>
    <w:p>
      <w:pPr>
        <w:pStyle w:val="TextBody"/>
        <w:bidi w:val="0"/>
        <w:spacing w:before="0" w:after="0"/>
        <w:ind w:left="0" w:right="0" w:hanging="0"/>
        <w:jc w:val="left"/>
        <w:rPr/>
      </w:pPr>
      <w:r>
        <w:rPr/>
        <w:t>​</w:t>
      </w:r>
    </w:p>
    <w:tbl>
      <w:tblPr>
        <w:tblW w:w="5437" w:type="dxa"/>
        <w:jc w:val="left"/>
        <w:tblInd w:w="0" w:type="dxa"/>
        <w:tblLayout w:type="fixed"/>
        <w:tblCellMar>
          <w:top w:w="0" w:type="dxa"/>
          <w:left w:w="0" w:type="dxa"/>
          <w:bottom w:w="0" w:type="dxa"/>
          <w:right w:w="0" w:type="dxa"/>
        </w:tblCellMar>
      </w:tblPr>
      <w:tblGrid>
        <w:gridCol w:w="3286"/>
        <w:gridCol w:w="346"/>
        <w:gridCol w:w="211"/>
        <w:gridCol w:w="466"/>
        <w:gridCol w:w="346"/>
        <w:gridCol w:w="211"/>
        <w:gridCol w:w="57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86610" cy="175260"/>
                      <wp:effectExtent l="0" t="0" r="0" b="0"/>
                      <wp:wrapNone/>
                      <wp:docPr id="188" name="Frame188"/>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95910" cy="175260"/>
                      <wp:effectExtent l="0" t="0" r="0" b="0"/>
                      <wp:wrapNone/>
                      <wp:docPr id="191" name="Frame19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62585" cy="175260"/>
                      <wp:effectExtent l="0" t="0" r="0" b="0"/>
                      <wp:wrapNone/>
                      <wp:docPr id="194" name="Frame1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Operating Metric (dollars in billions)</w:t>
            </w:r>
          </w:p>
        </w:tc>
        <w:tc>
          <w:tcPr>
            <w:tcW w:w="346" w:type="dxa"/>
            <w:tcBorders/>
            <w:vAlign w:val="center"/>
          </w:tcPr>
          <w:p>
            <w:pPr>
              <w:pStyle w:val="TableContents"/>
              <w:bidi w:val="0"/>
              <w:spacing w:before="0" w:after="0"/>
              <w:ind w:left="0" w:right="0" w:hanging="0"/>
              <w:jc w:val="left"/>
              <w:rPr/>
            </w:pPr>
            <w:r>
              <w:rPr/>
              <w:t>  ​ ​ ​</w:t>
            </w:r>
          </w:p>
        </w:tc>
        <w:tc>
          <w:tcPr>
            <w:tcW w:w="1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Advisory and Brokerage Assets</w:t>
            </w:r>
          </w:p>
        </w:tc>
        <w:tc>
          <w:tcPr>
            <w:tcW w:w="346" w:type="dxa"/>
            <w:tcBorders/>
            <w:vAlign w:val="center"/>
          </w:tcPr>
          <w:p>
            <w:pPr>
              <w:pStyle w:val="TableContents"/>
              <w:bidi w:val="0"/>
              <w:spacing w:before="0" w:after="0"/>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Advisory and Brokerage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27.8</w:t>
            </w:r>
          </w:p>
        </w:tc>
      </w:tr>
    </w:tbl>
    <w:p>
      <w:pPr>
        <w:pStyle w:val="TextBody"/>
        <w:bidi w:val="0"/>
        <w:spacing w:before="0" w:after="0"/>
        <w:ind w:left="0" w:right="0" w:hanging="0"/>
        <w:jc w:val="left"/>
        <w:rPr/>
      </w:pPr>
      <w:r>
        <w:rPr/>
        <w:t>​</w:t>
      </w:r>
    </w:p>
    <w:tbl>
      <w:tblPr>
        <w:tblW w:w="7304" w:type="dxa"/>
        <w:jc w:val="left"/>
        <w:tblInd w:w="0" w:type="dxa"/>
        <w:tblLayout w:type="fixed"/>
        <w:tblCellMar>
          <w:top w:w="0" w:type="dxa"/>
          <w:left w:w="0" w:type="dxa"/>
          <w:bottom w:w="0" w:type="dxa"/>
          <w:right w:w="0" w:type="dxa"/>
        </w:tblCellMar>
      </w:tblPr>
      <w:tblGrid>
        <w:gridCol w:w="2146"/>
        <w:gridCol w:w="346"/>
        <w:gridCol w:w="281"/>
        <w:gridCol w:w="642"/>
        <w:gridCol w:w="462"/>
        <w:gridCol w:w="281"/>
        <w:gridCol w:w="642"/>
        <w:gridCol w:w="346"/>
        <w:gridCol w:w="256"/>
        <w:gridCol w:w="585"/>
        <w:gridCol w:w="421"/>
        <w:gridCol w:w="256"/>
        <w:gridCol w:w="640"/>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62710" cy="175260"/>
                      <wp:effectExtent l="0" t="0" r="0" b="0"/>
                      <wp:wrapNone/>
                      <wp:docPr id="195" name="Frame195"/>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8435" cy="175260"/>
                      <wp:effectExtent l="0" t="0" r="0" b="0"/>
                      <wp:wrapNone/>
                      <wp:docPr id="197" name="Frame19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07670" cy="175260"/>
                      <wp:effectExtent l="0" t="0" r="0" b="0"/>
                      <wp:wrapNone/>
                      <wp:docPr id="198" name="Frame198"/>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93370" cy="175260"/>
                      <wp:effectExtent l="0" t="0" r="0" b="0"/>
                      <wp:wrapNone/>
                      <wp:docPr id="199" name="Frame199"/>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78435" cy="175260"/>
                      <wp:effectExtent l="0" t="0" r="0" b="0"/>
                      <wp:wrapNone/>
                      <wp:docPr id="200" name="Frame20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07670" cy="175260"/>
                      <wp:effectExtent l="0" t="0" r="0" b="0"/>
                      <wp:wrapNone/>
                      <wp:docPr id="201" name="Frame201"/>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2560" cy="175260"/>
                      <wp:effectExtent l="0" t="0" r="0" b="0"/>
                      <wp:wrapNone/>
                      <wp:docPr id="203" name="Frame20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71475" cy="175260"/>
                      <wp:effectExtent l="0" t="0" r="0" b="0"/>
                      <wp:wrapNone/>
                      <wp:docPr id="204" name="Frame204"/>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67335" cy="175260"/>
                      <wp:effectExtent l="0" t="0" r="0" b="0"/>
                      <wp:wrapNone/>
                      <wp:docPr id="205" name="Frame20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62560" cy="175260"/>
                      <wp:effectExtent l="0" t="0" r="0" b="0"/>
                      <wp:wrapNone/>
                      <wp:docPr id="206" name="Frame20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06400" cy="175260"/>
                      <wp:effectExtent l="0" t="0" r="0" b="0"/>
                      <wp:wrapNone/>
                      <wp:docPr id="207" name="Frame207"/>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New Assets</w:t>
            </w:r>
          </w:p>
        </w:tc>
        <w:tc>
          <w:tcPr>
            <w:tcW w:w="346" w:type="dxa"/>
            <w:tcBorders/>
            <w:vAlign w:val="center"/>
          </w:tcPr>
          <w:p>
            <w:pPr>
              <w:pStyle w:val="TableContents"/>
              <w:bidi w:val="0"/>
              <w:spacing w:before="0" w:after="0"/>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center"/>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1" w:type="dxa"/>
            <w:tcBorders/>
            <w:vAlign w:val="center"/>
          </w:tcPr>
          <w:p>
            <w:pPr>
              <w:pStyle w:val="TableContents"/>
              <w:bidi w:val="0"/>
              <w:spacing w:before="0" w:after="0"/>
              <w:ind w:left="0" w:right="0" w:hanging="0"/>
              <w:jc w:val="center"/>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new brokerage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new advisory assets</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421"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New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2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131"/>
        <w:gridCol w:w="346"/>
        <w:gridCol w:w="339"/>
        <w:gridCol w:w="748"/>
        <w:gridCol w:w="556"/>
        <w:gridCol w:w="339"/>
        <w:gridCol w:w="771"/>
        <w:gridCol w:w="346"/>
        <w:gridCol w:w="317"/>
        <w:gridCol w:w="701"/>
        <w:gridCol w:w="520"/>
        <w:gridCol w:w="317"/>
        <w:gridCol w:w="774"/>
      </w:tblGrid>
      <w:tr>
        <w:trPr/>
        <w:tc>
          <w:tcPr>
            <w:tcW w:w="4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623185" cy="175260"/>
                      <wp:effectExtent l="0" t="0" r="0" b="0"/>
                      <wp:wrapNone/>
                      <wp:docPr id="208" name="Frame208"/>
                      <a:graphic xmlns:a="http://schemas.openxmlformats.org/drawingml/2006/main">
                        <a:graphicData uri="http://schemas.microsoft.com/office/word/2010/wordprocessingShape">
                          <wps:wsp>
                            <wps:cNvSpPr txBox="1"/>
                            <wps:spPr>
                              <a:xfrm>
                                <a:off x="0" y="0"/>
                                <a:ext cx="262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5265" cy="175260"/>
                      <wp:effectExtent l="0" t="0" r="0" b="0"/>
                      <wp:wrapNone/>
                      <wp:docPr id="210" name="Frame21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74980" cy="175260"/>
                      <wp:effectExtent l="0" t="0" r="0" b="0"/>
                      <wp:wrapNone/>
                      <wp:docPr id="211" name="Frame21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53060" cy="175260"/>
                      <wp:effectExtent l="0" t="0" r="0" b="0"/>
                      <wp:wrapNone/>
                      <wp:docPr id="212" name="Frame21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5265" cy="175260"/>
                      <wp:effectExtent l="0" t="0" r="0" b="0"/>
                      <wp:wrapNone/>
                      <wp:docPr id="213" name="Frame213"/>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89585" cy="175260"/>
                      <wp:effectExtent l="0" t="0" r="0" b="0"/>
                      <wp:wrapNone/>
                      <wp:docPr id="214" name="Frame214"/>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1295" cy="175260"/>
                      <wp:effectExtent l="0" t="0" r="0" b="0"/>
                      <wp:wrapNone/>
                      <wp:docPr id="216" name="Frame21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45135" cy="175260"/>
                      <wp:effectExtent l="0" t="0" r="0" b="0"/>
                      <wp:wrapNone/>
                      <wp:docPr id="217" name="Frame217"/>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30200" cy="175260"/>
                      <wp:effectExtent l="0" t="0" r="0" b="0"/>
                      <wp:wrapNone/>
                      <wp:docPr id="218" name="Frame218"/>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1295" cy="175260"/>
                      <wp:effectExtent l="0" t="0" r="0" b="0"/>
                      <wp:wrapNone/>
                      <wp:docPr id="219" name="Frame21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1490" cy="175260"/>
                      <wp:effectExtent l="0" t="0" r="0" b="0"/>
                      <wp:wrapNone/>
                      <wp:docPr id="220" name="Frame220"/>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1"/>
              <w:ind w:left="0" w:right="0" w:hanging="0"/>
              <w:jc w:val="left"/>
              <w:rPr/>
            </w:pPr>
            <w:r>
              <w:rPr/>
              <w:t>​</w:t>
            </w:r>
          </w:p>
        </w:tc>
        <w:tc>
          <w:tcPr>
            <w:tcW w:w="26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4131"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Financial Metrics (dollars in millions)</w:t>
            </w:r>
          </w:p>
        </w:tc>
        <w:tc>
          <w:tcPr>
            <w:tcW w:w="346" w:type="dxa"/>
            <w:tcBorders/>
            <w:vAlign w:val="center"/>
          </w:tcPr>
          <w:p>
            <w:pPr>
              <w:pStyle w:val="TableContents"/>
              <w:bidi w:val="0"/>
              <w:spacing w:before="0" w:after="1"/>
              <w:ind w:left="0" w:right="0" w:hanging="0"/>
              <w:jc w:val="left"/>
              <w:rPr/>
            </w:pPr>
            <w:r>
              <w:rPr/>
              <w:t>  ​ ​ ​</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5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0" w:type="dxa"/>
            <w:tcBorders/>
            <w:vAlign w:val="center"/>
          </w:tcPr>
          <w:p>
            <w:pPr>
              <w:pStyle w:val="TableContents"/>
              <w:bidi w:val="0"/>
              <w:spacing w:before="0" w:after="1"/>
              <w:ind w:left="0" w:right="0" w:hanging="0"/>
              <w:jc w:val="center"/>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55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w:t>
            </w:r>
          </w:p>
        </w:tc>
        <w:tc>
          <w:tcPr>
            <w:tcW w:w="520"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4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5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520"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131"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Non-GAAP Financial Metrics (dollars in millions)</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55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520"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pPr>
            <w:r>
              <w:rPr/>
              <w:t>​</w:t>
            </w:r>
          </w:p>
        </w:tc>
      </w:tr>
      <w:tr>
        <w:trPr/>
        <w:tc>
          <w:tcPr>
            <w:tcW w:w="4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55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520"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413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EBITDA</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5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520"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55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520"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 Below is a calculation of gross profit for the periods presented (in millions):</w:t>
            </w:r>
          </w:p>
        </w:tc>
      </w:tr>
    </w:tbl>
    <w:tbl>
      <w:tblPr>
        <w:tblW w:w="8012" w:type="dxa"/>
        <w:jc w:val="left"/>
        <w:tblInd w:w="0" w:type="dxa"/>
        <w:tblLayout w:type="fixed"/>
        <w:tblCellMar>
          <w:top w:w="0" w:type="dxa"/>
          <w:left w:w="0" w:type="dxa"/>
          <w:bottom w:w="0" w:type="dxa"/>
          <w:right w:w="0" w:type="dxa"/>
        </w:tblCellMar>
      </w:tblPr>
      <w:tblGrid>
        <w:gridCol w:w="1846"/>
        <w:gridCol w:w="346"/>
        <w:gridCol w:w="348"/>
        <w:gridCol w:w="769"/>
        <w:gridCol w:w="571"/>
        <w:gridCol w:w="348"/>
        <w:gridCol w:w="769"/>
        <w:gridCol w:w="346"/>
        <w:gridCol w:w="312"/>
        <w:gridCol w:w="689"/>
        <w:gridCol w:w="512"/>
        <w:gridCol w:w="312"/>
        <w:gridCol w:w="844"/>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72210" cy="175260"/>
                      <wp:effectExtent l="0" t="0" r="0" b="0"/>
                      <wp:wrapNone/>
                      <wp:docPr id="221" name="Frame22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20980" cy="175260"/>
                      <wp:effectExtent l="0" t="0" r="0" b="0"/>
                      <wp:wrapNone/>
                      <wp:docPr id="223" name="Frame22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88315" cy="175260"/>
                      <wp:effectExtent l="0" t="0" r="0" b="0"/>
                      <wp:wrapNone/>
                      <wp:docPr id="224" name="Frame224"/>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62585" cy="175260"/>
                      <wp:effectExtent l="0" t="0" r="0" b="0"/>
                      <wp:wrapNone/>
                      <wp:docPr id="225" name="Frame2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20980" cy="175260"/>
                      <wp:effectExtent l="0" t="0" r="0" b="0"/>
                      <wp:wrapNone/>
                      <wp:docPr id="226" name="Frame22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88315" cy="175260"/>
                      <wp:effectExtent l="0" t="0" r="0" b="0"/>
                      <wp:wrapNone/>
                      <wp:docPr id="227" name="Frame227"/>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98120" cy="175260"/>
                      <wp:effectExtent l="0" t="0" r="0" b="0"/>
                      <wp:wrapNone/>
                      <wp:docPr id="229" name="Frame229"/>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7515" cy="175260"/>
                      <wp:effectExtent l="0" t="0" r="0" b="0"/>
                      <wp:wrapNone/>
                      <wp:docPr id="230" name="Frame230"/>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25120" cy="175260"/>
                      <wp:effectExtent l="0" t="0" r="0" b="0"/>
                      <wp:wrapNone/>
                      <wp:docPr id="231" name="Frame231"/>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8120" cy="175260"/>
                      <wp:effectExtent l="0" t="0" r="0" b="0"/>
                      <wp:wrapNone/>
                      <wp:docPr id="232" name="Frame232"/>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35940" cy="175260"/>
                      <wp:effectExtent l="0" t="0" r="0" b="0"/>
                      <wp:wrapNone/>
                      <wp:docPr id="233" name="Frame233"/>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346" w:type="dxa"/>
            <w:tcBorders/>
            <w:vAlign w:val="center"/>
          </w:tcPr>
          <w:p>
            <w:pPr>
              <w:pStyle w:val="TableContents"/>
              <w:bidi w:val="0"/>
              <w:spacing w:before="0" w:after="0"/>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1" w:type="dxa"/>
            <w:tcBorders/>
            <w:vAlign w:val="center"/>
          </w:tcPr>
          <w:p>
            <w:pPr>
              <w:pStyle w:val="TableContents"/>
              <w:bidi w:val="0"/>
              <w:spacing w:before="0" w:after="0"/>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12" w:type="dxa"/>
            <w:tcBorders/>
            <w:vAlign w:val="center"/>
          </w:tcPr>
          <w:p>
            <w:pPr>
              <w:pStyle w:val="TableContents"/>
              <w:bidi w:val="0"/>
              <w:spacing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571"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512"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 and fees</w:t>
            </w:r>
          </w:p>
        </w:tc>
        <w:tc>
          <w:tcPr>
            <w:tcW w:w="346"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571"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512"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571"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512"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EBITDA and Adjusted EBITDA are non-GAAP financial measures. EBITDA is defined as net income plus interest expense, provision for income taxes, and depreciation and amortization. Adjusted EBITDA is defined as EBITDA plus non-recurring costs share-based compensation costs. The Company presents EBITDA and Adjusted EBITDA because management believes that it can be a useful financial metric in understanding the Company’s earnings from operations. EBITDA and Adjusted EBITDA are not measures of the Company’s financial performance under GAAP and should not be considered as an alternative to net income or any other performance measure derived in accordance with GAAP. Below is a reconciliation of net income to EBITDA and Adjusted EBITDA for the periods presented (in millions):</w:t>
            </w:r>
          </w:p>
        </w:tc>
      </w:tr>
    </w:tbl>
    <w:p>
      <w:pPr>
        <w:pStyle w:val="TextBody"/>
        <w:bidi w:val="0"/>
        <w:spacing w:before="0" w:after="0"/>
        <w:ind w:left="0" w:right="0" w:hanging="0"/>
        <w:jc w:val="both"/>
        <w:rPr/>
      </w:pPr>
      <w:r>
        <w:rPr/>
        <w:t>​</w:t>
      </w:r>
    </w:p>
    <w:tbl>
      <w:tblPr>
        <w:tblW w:w="8761" w:type="dxa"/>
        <w:jc w:val="left"/>
        <w:tblInd w:w="0" w:type="dxa"/>
        <w:tblLayout w:type="fixed"/>
        <w:tblCellMar>
          <w:top w:w="0" w:type="dxa"/>
          <w:left w:w="0" w:type="dxa"/>
          <w:bottom w:w="0" w:type="dxa"/>
          <w:right w:w="0" w:type="dxa"/>
        </w:tblCellMar>
      </w:tblPr>
      <w:tblGrid>
        <w:gridCol w:w="2596"/>
        <w:gridCol w:w="346"/>
        <w:gridCol w:w="367"/>
        <w:gridCol w:w="629"/>
        <w:gridCol w:w="603"/>
        <w:gridCol w:w="367"/>
        <w:gridCol w:w="838"/>
        <w:gridCol w:w="346"/>
        <w:gridCol w:w="353"/>
        <w:gridCol w:w="604"/>
        <w:gridCol w:w="579"/>
        <w:gridCol w:w="353"/>
        <w:gridCol w:w="780"/>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48460" cy="175260"/>
                      <wp:effectExtent l="0" t="0" r="0" b="0"/>
                      <wp:wrapNone/>
                      <wp:docPr id="234" name="Frame23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33045" cy="175260"/>
                      <wp:effectExtent l="0" t="0" r="0" b="0"/>
                      <wp:wrapNone/>
                      <wp:docPr id="236" name="Frame23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99415" cy="175260"/>
                      <wp:effectExtent l="0" t="0" r="0" b="0"/>
                      <wp:wrapNone/>
                      <wp:docPr id="237" name="Frame237"/>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82905" cy="175260"/>
                      <wp:effectExtent l="0" t="0" r="0" b="0"/>
                      <wp:wrapNone/>
                      <wp:docPr id="238" name="Frame238"/>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33045" cy="175260"/>
                      <wp:effectExtent l="0" t="0" r="0" b="0"/>
                      <wp:wrapNone/>
                      <wp:docPr id="239" name="Frame23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32130" cy="175260"/>
                      <wp:effectExtent l="0" t="0" r="0" b="0"/>
                      <wp:wrapNone/>
                      <wp:docPr id="240" name="Frame240"/>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24155" cy="175260"/>
                      <wp:effectExtent l="0" t="0" r="0" b="0"/>
                      <wp:wrapNone/>
                      <wp:docPr id="242" name="Frame24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83540" cy="175260"/>
                      <wp:effectExtent l="0" t="0" r="0" b="0"/>
                      <wp:wrapNone/>
                      <wp:docPr id="243" name="Frame243"/>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67665" cy="175260"/>
                      <wp:effectExtent l="0" t="0" r="0" b="0"/>
                      <wp:wrapNone/>
                      <wp:docPr id="244" name="Frame244"/>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24155" cy="175260"/>
                      <wp:effectExtent l="0" t="0" r="0" b="0"/>
                      <wp:wrapNone/>
                      <wp:docPr id="245" name="Frame24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95300" cy="175260"/>
                      <wp:effectExtent l="0" t="0" r="0" b="0"/>
                      <wp:wrapNone/>
                      <wp:docPr id="246" name="Frame246"/>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1"/>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EBITDA Reconciliation</w:t>
            </w:r>
          </w:p>
        </w:tc>
        <w:tc>
          <w:tcPr>
            <w:tcW w:w="346" w:type="dxa"/>
            <w:tcBorders/>
            <w:vAlign w:val="center"/>
          </w:tcPr>
          <w:p>
            <w:pPr>
              <w:pStyle w:val="TableContents"/>
              <w:bidi w:val="0"/>
              <w:spacing w:before="0" w:after="1"/>
              <w:ind w:left="0" w:right="0" w:hanging="0"/>
              <w:jc w:val="left"/>
              <w:rPr/>
            </w:pPr>
            <w:r>
              <w:rPr/>
              <w:t>  ​ ​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03" w:type="dxa"/>
            <w:tcBorders/>
            <w:vAlign w:val="center"/>
          </w:tcPr>
          <w:p>
            <w:pPr>
              <w:pStyle w:val="TableContents"/>
              <w:bidi w:val="0"/>
              <w:spacing w:before="0" w:after="1"/>
              <w:ind w:left="0" w:right="0" w:hanging="0"/>
              <w:jc w:val="left"/>
              <w:rPr/>
            </w:pPr>
            <w:r>
              <w:rPr/>
              <w:t>  ​ ​ ​</w:t>
            </w:r>
          </w:p>
        </w:tc>
        <w:tc>
          <w:tcPr>
            <w:tcW w:w="12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9" w:type="dxa"/>
            <w:tcBorders/>
            <w:vAlign w:val="center"/>
          </w:tcPr>
          <w:p>
            <w:pPr>
              <w:pStyle w:val="TableContents"/>
              <w:bidi w:val="0"/>
              <w:spacing w:before="0" w:after="1"/>
              <w:ind w:left="0" w:right="0" w:hanging="0"/>
              <w:jc w:val="left"/>
              <w:rPr/>
            </w:pPr>
            <w:r>
              <w:rPr/>
              <w:t>  ​ ​ ​</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603"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57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603"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79"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603"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57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603"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79"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603"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57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603"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579" w:type="dxa"/>
            <w:tcBorders/>
            <w:vAlign w:val="center"/>
          </w:tcPr>
          <w:p>
            <w:pPr>
              <w:pStyle w:val="TableContents"/>
              <w:bidi w:val="0"/>
              <w:spacing w:before="0"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603"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579" w:type="dxa"/>
            <w:tcBorders/>
            <w:shd w:fill="CCEEFF" w:val="clear"/>
            <w:vAlign w:val="center"/>
          </w:tcPr>
          <w:p>
            <w:pPr>
              <w:pStyle w:val="TableContents"/>
              <w:bidi w:val="0"/>
              <w:spacing w:before="0"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Economic Overview and Impact of Financial Market Events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business is directly and indirectly sensitive to several macroeconomic factors and the state of the United States financial markets.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business is also sensitive to current and expected short-term interest rates, which are largely driven by Federal Reserve Board policy. During the June 2026 meeting, Federal Reserve Board policymakers held interest rates steady keeping to a target range for the federal funds rate in the 3.5% to 3.75% range. The equity markets increased during the second quarter of 2026 resulting in the S&amp;P 500 increasing 15.2%.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Please consult the Factors Affecting Our Financial Condition and Results of Operations, including those described in the section titled “</w:t>
      </w:r>
      <w:r>
        <w:rPr>
          <w:rFonts w:ascii="Times New Roman;Times;serif" w:hAnsi="Times New Roman;Times;serif"/>
          <w:b/>
          <w:i/>
          <w:sz w:val="20"/>
        </w:rPr>
        <w:t>1A. Risk Factors</w:t>
      </w:r>
      <w:r>
        <w:rPr>
          <w:rFonts w:ascii="Times New Roman;Times;serif" w:hAnsi="Times New Roman;Times;serif"/>
          <w:sz w:val="20"/>
        </w:rPr>
        <w:t xml:space="preserve">” </w:t>
      </w:r>
      <w:r>
        <w:rPr>
          <w:rFonts w:ascii="Times New Roman;Times;serif" w:hAnsi="Times New Roman;Times;serif"/>
          <w:b/>
          <w:sz w:val="20"/>
        </w:rPr>
        <w:t>in our Annual Report on Form 10-K for year ended December 31, 2025.</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condensed consolidated financial statements have been prepared in accordance with accounting principles generally accepted in the United States of America (“GAAP”). Currently, we conduct business through one operating segment. The condensed consolidated financial statements have been prepared assuming that we will continue as a going concern. See Note 2 in the accompanying condensed consolidated financial statements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presents an analysis of our results of operations for the three and six month periods ended June 30, 2026 and 2025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3"/>
        <w:gridCol w:w="346"/>
        <w:gridCol w:w="211"/>
        <w:gridCol w:w="676"/>
        <w:gridCol w:w="346"/>
        <w:gridCol w:w="211"/>
        <w:gridCol w:w="676"/>
        <w:gridCol w:w="346"/>
        <w:gridCol w:w="871"/>
        <w:gridCol w:w="346"/>
        <w:gridCol w:w="211"/>
        <w:gridCol w:w="676"/>
        <w:gridCol w:w="346"/>
        <w:gridCol w:w="211"/>
        <w:gridCol w:w="676"/>
        <w:gridCol w:w="346"/>
        <w:gridCol w:w="871"/>
        <w:gridCol w:w="316"/>
      </w:tblGrid>
      <w:tr>
        <w:trPr/>
        <w:tc>
          <w:tcPr>
            <w:tcW w:w="2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602105" cy="175260"/>
                      <wp:effectExtent l="0" t="0" r="0" b="0"/>
                      <wp:wrapNone/>
                      <wp:docPr id="247" name="Frame247"/>
                      <a:graphic xmlns:a="http://schemas.openxmlformats.org/drawingml/2006/main">
                        <a:graphicData uri="http://schemas.microsoft.com/office/word/2010/wordprocessingShape">
                          <wps:wsp>
                            <wps:cNvSpPr txBox="1"/>
                            <wps:spPr>
                              <a:xfrm>
                                <a:off x="0" y="0"/>
                                <a:ext cx="160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29260" cy="175260"/>
                      <wp:effectExtent l="0" t="0" r="0" b="0"/>
                      <wp:wrapNone/>
                      <wp:docPr id="250" name="Frame2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9260" cy="175260"/>
                      <wp:effectExtent l="0" t="0" r="0" b="0"/>
                      <wp:wrapNone/>
                      <wp:docPr id="253" name="Frame2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53085" cy="175260"/>
                      <wp:effectExtent l="0" t="0" r="0" b="0"/>
                      <wp:wrapNone/>
                      <wp:docPr id="255" name="Frame25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29260" cy="175260"/>
                      <wp:effectExtent l="0" t="0" r="0" b="0"/>
                      <wp:wrapNone/>
                      <wp:docPr id="258" name="Frame2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53085" cy="175260"/>
                      <wp:effectExtent l="0" t="0" r="0" b="0"/>
                      <wp:wrapNone/>
                      <wp:docPr id="263" name="Frame26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0660" cy="175260"/>
                      <wp:effectExtent l="0" t="0" r="0" b="0"/>
                      <wp:wrapNone/>
                      <wp:docPr id="264" name="Frame26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2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Contracts with Customers: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33,998</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6,627</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13,542</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40,625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92,475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88,679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41,497</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90,431</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3"/>
        <w:gridCol w:w="346"/>
        <w:gridCol w:w="211"/>
        <w:gridCol w:w="676"/>
        <w:gridCol w:w="346"/>
        <w:gridCol w:w="211"/>
        <w:gridCol w:w="676"/>
        <w:gridCol w:w="346"/>
        <w:gridCol w:w="871"/>
        <w:gridCol w:w="346"/>
        <w:gridCol w:w="211"/>
        <w:gridCol w:w="676"/>
        <w:gridCol w:w="346"/>
        <w:gridCol w:w="211"/>
        <w:gridCol w:w="676"/>
        <w:gridCol w:w="346"/>
        <w:gridCol w:w="871"/>
        <w:gridCol w:w="316"/>
      </w:tblGrid>
      <w:tr>
        <w:trPr/>
        <w:tc>
          <w:tcPr>
            <w:tcW w:w="2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602105" cy="175260"/>
                      <wp:effectExtent l="0" t="0" r="0" b="0"/>
                      <wp:wrapNone/>
                      <wp:docPr id="265" name="Frame265"/>
                      <a:graphic xmlns:a="http://schemas.openxmlformats.org/drawingml/2006/main">
                        <a:graphicData uri="http://schemas.microsoft.com/office/word/2010/wordprocessingShape">
                          <wps:wsp>
                            <wps:cNvSpPr txBox="1"/>
                            <wps:spPr>
                              <a:xfrm>
                                <a:off x="0" y="0"/>
                                <a:ext cx="160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29260" cy="175260"/>
                      <wp:effectExtent l="0" t="0" r="0" b="0"/>
                      <wp:wrapNone/>
                      <wp:docPr id="268" name="Frame2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29260" cy="175260"/>
                      <wp:effectExtent l="0" t="0" r="0" b="0"/>
                      <wp:wrapNone/>
                      <wp:docPr id="271" name="Frame2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53085" cy="175260"/>
                      <wp:effectExtent l="0" t="0" r="0" b="0"/>
                      <wp:wrapNone/>
                      <wp:docPr id="273" name="Frame27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29260" cy="175260"/>
                      <wp:effectExtent l="0" t="0" r="0" b="0"/>
                      <wp:wrapNone/>
                      <wp:docPr id="276" name="Frame2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29260" cy="175260"/>
                      <wp:effectExtent l="0" t="0" r="0" b="0"/>
                      <wp:wrapNone/>
                      <wp:docPr id="279" name="Frame2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53085" cy="175260"/>
                      <wp:effectExtent l="0" t="0" r="0" b="0"/>
                      <wp:wrapNone/>
                      <wp:docPr id="281" name="Frame28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0660" cy="175260"/>
                      <wp:effectExtent l="0" t="0" r="0" b="0"/>
                      <wp:wrapNone/>
                      <wp:docPr id="282" name="Frame28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3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1"/>
              <w:ind w:left="0" w:right="0" w:hanging="0"/>
              <w:jc w:val="left"/>
              <w:rPr/>
            </w:pPr>
            <w:r>
              <w:rPr/>
              <w:t> </w:t>
            </w:r>
          </w:p>
        </w:tc>
        <w:tc>
          <w:tcPr>
            <w:tcW w:w="333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16" w:type="dxa"/>
            <w:tcBorders/>
            <w:vAlign w:val="center"/>
          </w:tcPr>
          <w:p>
            <w:pPr>
              <w:pStyle w:val="TableContents"/>
              <w:bidi w:val="0"/>
              <w:spacing w:before="0" w:after="1"/>
              <w:ind w:left="0" w:right="0" w:hanging="0"/>
              <w:jc w:val="left"/>
              <w:rPr/>
            </w:pPr>
            <w:r>
              <w:rPr/>
              <w:t> </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5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36,656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32,740</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75,169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73,038</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4,926</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9,277</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2,480</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46,093</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42,058</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92,137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89,537</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2,338</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primary source of revenue is from fees and commissions from products and advisory services offered by our advisors to their clients, a substantial portion of which we pay out to our advisors. We also generate interest income in accordance with our agreements with our clearing partners. In accordance with ASC 606, Revenue from Contracts with Customers, we record revenue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generates two types of commission revenues: sales-based commissions that are recognized at the point of sale on the trade date and trailing commissions that are recognized over time as earned. Sales-based commission revenues vary by investment product and are recognized on the trade date or the transaction date, which represents the completion of the Company’s performance obligation because that is when the underlying financial instrument or purchaser is identified, the pricing is agreed upon, and the risks and rewards of ownership have been transferred to/from the customer at a point in time. The rates at which commissions are charged to the customers range from 1% to 7% based on the investment product. Trailing commission revenues which are preliminarily related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sales of mutual funds and variable annuities held by clients of the Company’s advisors are generally based on a percentage of the current market value of clients’ investment holdings in trail-eligible assets, and are recognized over the time the client owns the investment or holds the contract and is generally based on a fixed rate applied, generally twenty-five to fifty basis points (25-50 bps) of the current market value of the clients’ holdings. Trailing commissions are generally received monthly or quarterly. The ongoing revenue is not recognized at the time of sale because it is variably constrained due to factors outside the Company’s control including market volatility and the client’s investment hold period and the Company does not believe that it can overcome such constraints until the market value of the fund and the investor activities are known. The revenues will not be recognized until it is probable that a significant reversal will not occur.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principal for the commission revenue, as it is responsible for the execution of the clients’ purchases and sales and maintains relationships with the product sponsors. Advisors assist the Company in performing its obligations. Accordingly, total commission revenue is reported on a gross basis. See Note 3 - Revenues From Contracts with Customers within the notes to the condensed consolidated financial statements for the three and six month periods ended June 30, 2026, and 2025 for further details regarding our commission revenue by product category.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tables sets forth the components of our commission revenue for the three and six-month periods ended June 30, 2026 and 2025 (in thousands):</w:t>
      </w:r>
    </w:p>
    <w:tbl>
      <w:tblPr>
        <w:tblW w:w="10205" w:type="dxa"/>
        <w:jc w:val="left"/>
        <w:tblInd w:w="0" w:type="dxa"/>
        <w:tblLayout w:type="fixed"/>
        <w:tblCellMar>
          <w:top w:w="0" w:type="dxa"/>
          <w:left w:w="0" w:type="dxa"/>
          <w:bottom w:w="0" w:type="dxa"/>
          <w:right w:w="0" w:type="dxa"/>
        </w:tblCellMar>
      </w:tblPr>
      <w:tblGrid>
        <w:gridCol w:w="1110"/>
        <w:gridCol w:w="346"/>
        <w:gridCol w:w="199"/>
        <w:gridCol w:w="564"/>
        <w:gridCol w:w="382"/>
        <w:gridCol w:w="199"/>
        <w:gridCol w:w="564"/>
        <w:gridCol w:w="346"/>
        <w:gridCol w:w="132"/>
        <w:gridCol w:w="529"/>
        <w:gridCol w:w="346"/>
        <w:gridCol w:w="721"/>
        <w:gridCol w:w="346"/>
        <w:gridCol w:w="201"/>
        <w:gridCol w:w="583"/>
        <w:gridCol w:w="385"/>
        <w:gridCol w:w="201"/>
        <w:gridCol w:w="583"/>
        <w:gridCol w:w="346"/>
        <w:gridCol w:w="346"/>
        <w:gridCol w:w="446"/>
        <w:gridCol w:w="346"/>
        <w:gridCol w:w="721"/>
        <w:gridCol w:w="263"/>
      </w:tblGrid>
      <w:tr>
        <w:trPr/>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04850" cy="175260"/>
                      <wp:effectExtent l="0" t="0" r="0" b="0"/>
                      <wp:wrapNone/>
                      <wp:docPr id="283" name="Frame283"/>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26365" cy="175260"/>
                      <wp:effectExtent l="0" t="0" r="0" b="0"/>
                      <wp:wrapNone/>
                      <wp:docPr id="285" name="Frame285"/>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58140" cy="175260"/>
                      <wp:effectExtent l="0" t="0" r="0" b="0"/>
                      <wp:wrapNone/>
                      <wp:docPr id="286" name="Frame286"/>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42570" cy="175260"/>
                      <wp:effectExtent l="0" t="0" r="0" b="0"/>
                      <wp:wrapNone/>
                      <wp:docPr id="287" name="Frame287"/>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26365" cy="175260"/>
                      <wp:effectExtent l="0" t="0" r="0" b="0"/>
                      <wp:wrapNone/>
                      <wp:docPr id="288" name="Frame28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58140" cy="175260"/>
                      <wp:effectExtent l="0" t="0" r="0" b="0"/>
                      <wp:wrapNone/>
                      <wp:docPr id="289" name="Frame289"/>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83820" cy="175260"/>
                      <wp:effectExtent l="0" t="0" r="0" b="0"/>
                      <wp:wrapNone/>
                      <wp:docPr id="291" name="Frame291"/>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35915" cy="175260"/>
                      <wp:effectExtent l="0" t="0" r="0" b="0"/>
                      <wp:wrapNone/>
                      <wp:docPr id="292" name="Frame292"/>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57835" cy="175260"/>
                      <wp:effectExtent l="0" t="0" r="0" b="0"/>
                      <wp:wrapNone/>
                      <wp:docPr id="294" name="Frame29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7635" cy="175260"/>
                      <wp:effectExtent l="0" t="0" r="0" b="0"/>
                      <wp:wrapNone/>
                      <wp:docPr id="296" name="Frame296"/>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70205" cy="175260"/>
                      <wp:effectExtent l="0" t="0" r="0" b="0"/>
                      <wp:wrapNone/>
                      <wp:docPr id="297" name="Frame297"/>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44475" cy="175260"/>
                      <wp:effectExtent l="0" t="0" r="0" b="0"/>
                      <wp:wrapNone/>
                      <wp:docPr id="298" name="Frame29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27635" cy="175260"/>
                      <wp:effectExtent l="0" t="0" r="0" b="0"/>
                      <wp:wrapNone/>
                      <wp:docPr id="299" name="Frame29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70205" cy="175260"/>
                      <wp:effectExtent l="0" t="0" r="0" b="0"/>
                      <wp:wrapNone/>
                      <wp:docPr id="300" name="Frame300"/>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83210" cy="175260"/>
                      <wp:effectExtent l="0" t="0" r="0" b="0"/>
                      <wp:wrapNone/>
                      <wp:docPr id="303" name="Frame303"/>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57835" cy="175260"/>
                      <wp:effectExtent l="0" t="0" r="0" b="0"/>
                      <wp:wrapNone/>
                      <wp:docPr id="305" name="Frame30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67005" cy="175260"/>
                      <wp:effectExtent l="0" t="0" r="0" b="0"/>
                      <wp:wrapNone/>
                      <wp:docPr id="306" name="Frame30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three months ended June 30, </w:t>
            </w:r>
          </w:p>
        </w:tc>
        <w:tc>
          <w:tcPr>
            <w:tcW w:w="34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953" w:type="dxa"/>
            <w:gridSpan w:val="5"/>
            <w:tcBorders>
              <w:bottom w:val="single" w:sz="2" w:space="0" w:color="000000"/>
            </w:tcBorders>
            <w:tcMar>
              <w:bottom w:w="28" w:type="dxa"/>
            </w:tcMar>
            <w:vAlign w:val="center"/>
          </w:tcPr>
          <w:p>
            <w:pPr>
              <w:pStyle w:val="TableContents"/>
              <w:bidi w:val="0"/>
              <w:spacing w:before="0" w:after="1"/>
              <w:ind w:left="0" w:right="0" w:hanging="0"/>
              <w:jc w:val="center"/>
              <w:rPr/>
            </w:pPr>
            <w:r>
              <w:rPr/>
              <w:t>  ​ ​ ​</w:t>
            </w:r>
            <w:r>
              <w:rPr>
                <w:rFonts w:ascii="Times New Roman;Times;serif" w:hAnsi="Times New Roman;Times;serif"/>
                <w:b/>
                <w:sz w:val="14"/>
              </w:rPr>
              <w:t xml:space="preserve">For the six months ended June 30, </w:t>
            </w:r>
          </w:p>
        </w:tc>
        <w:tc>
          <w:tcPr>
            <w:tcW w:w="34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  ​ ​ ​</w:t>
            </w:r>
          </w:p>
        </w:tc>
        <w:tc>
          <w:tcPr>
            <w:tcW w:w="4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tcBorders/>
            <w:vAlign w:val="center"/>
          </w:tcPr>
          <w:p>
            <w:pPr>
              <w:pStyle w:val="TableContents"/>
              <w:bidi w:val="0"/>
              <w:spacing w:before="0" w:after="1"/>
              <w:ind w:left="0" w:right="0" w:hanging="0"/>
              <w:jc w:val="center"/>
              <w:rPr/>
            </w:pPr>
            <w:r>
              <w:rPr/>
              <w:t>​</w:t>
            </w:r>
          </w:p>
        </w:tc>
        <w:tc>
          <w:tcPr>
            <w:tcW w:w="263" w:type="dxa"/>
            <w:tcBorders/>
            <w:vAlign w:val="center"/>
          </w:tcPr>
          <w:p>
            <w:pPr>
              <w:pStyle w:val="TableContents"/>
              <w:bidi w:val="0"/>
              <w:spacing w:before="0" w:after="1"/>
              <w:ind w:left="0" w:right="0" w:hanging="0"/>
              <w:jc w:val="center"/>
              <w:rPr/>
            </w:pPr>
            <w:r>
              <w:rPr/>
              <w:t> </w:t>
            </w:r>
          </w:p>
        </w:tc>
      </w:tr>
      <w:tr>
        <w:trPr/>
        <w:tc>
          <w:tcPr>
            <w:tcW w:w="11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82" w:type="dxa"/>
            <w:tcBorders/>
            <w:vAlign w:val="center"/>
          </w:tcPr>
          <w:p>
            <w:pPr>
              <w:pStyle w:val="TableContents"/>
              <w:bidi w:val="0"/>
              <w:spacing w:before="0" w:after="1"/>
              <w:ind w:left="0" w:right="0" w:hanging="0"/>
              <w:jc w:val="center"/>
              <w:rPr/>
            </w:pPr>
            <w:r>
              <w:rPr/>
              <w:t>  ​ ​ ​</w:t>
            </w:r>
          </w:p>
        </w:tc>
        <w:tc>
          <w:tcPr>
            <w:tcW w:w="7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1"/>
              <w:ind w:left="0" w:right="0" w:hanging="0"/>
              <w:jc w:val="center"/>
              <w:rPr/>
            </w:pPr>
            <w:r>
              <w:rPr/>
              <w:t>  ​ ​ ​</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346" w:type="dxa"/>
            <w:tcBorders/>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346" w:type="dxa"/>
            <w:tcBorders/>
            <w:vAlign w:val="center"/>
          </w:tcPr>
          <w:p>
            <w:pPr>
              <w:pStyle w:val="TableContents"/>
              <w:bidi w:val="0"/>
              <w:spacing w:before="0" w:after="1"/>
              <w:ind w:left="0" w:right="0" w:hanging="0"/>
              <w:jc w:val="center"/>
              <w:rPr/>
            </w:pPr>
            <w:r>
              <w:rPr/>
              <w:t>  ​ ​ ​</w:t>
            </w:r>
          </w:p>
        </w:tc>
        <w:tc>
          <w:tcPr>
            <w:tcW w:w="7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85" w:type="dxa"/>
            <w:tcBorders/>
            <w:vAlign w:val="center"/>
          </w:tcPr>
          <w:p>
            <w:pPr>
              <w:pStyle w:val="TableContents"/>
              <w:bidi w:val="0"/>
              <w:spacing w:before="0" w:after="1"/>
              <w:ind w:left="0" w:right="0" w:hanging="0"/>
              <w:jc w:val="center"/>
              <w:rPr/>
            </w:pPr>
            <w:r>
              <w:rPr/>
              <w:t>  ​ ​ ​</w:t>
            </w:r>
          </w:p>
        </w:tc>
        <w:tc>
          <w:tcPr>
            <w:tcW w:w="7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1"/>
              <w:ind w:left="0" w:right="0" w:hanging="0"/>
              <w:jc w:val="center"/>
              <w:rPr/>
            </w:pPr>
            <w:r>
              <w:rPr/>
              <w:t>  ​ ​ ​</w:t>
            </w:r>
          </w:p>
        </w:tc>
        <w:tc>
          <w:tcPr>
            <w:tcW w:w="7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263" w:type="dxa"/>
            <w:tcBorders/>
            <w:vAlign w:val="center"/>
          </w:tcPr>
          <w:p>
            <w:pPr>
              <w:pStyle w:val="TableContents"/>
              <w:bidi w:val="0"/>
              <w:spacing w:before="0" w:after="1"/>
              <w:ind w:left="0" w:right="0" w:hanging="0"/>
              <w:jc w:val="center"/>
              <w:rPr/>
            </w:pPr>
            <w:r>
              <w:rPr/>
              <w:t> </w:t>
            </w:r>
          </w:p>
        </w:tc>
      </w:tr>
      <w:tr>
        <w:trPr/>
        <w:tc>
          <w:tcPr>
            <w:tcW w:w="111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Sales-based</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17,170</w:t>
            </w:r>
          </w:p>
        </w:tc>
        <w:tc>
          <w:tcPr>
            <w:tcW w:w="382"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14,869</w:t>
            </w:r>
          </w:p>
        </w:tc>
        <w:tc>
          <w:tcPr>
            <w:tcW w:w="346" w:type="dxa"/>
            <w:tcBorders/>
            <w:shd w:fill="CCEEFF" w:val="clear"/>
            <w:vAlign w:val="center"/>
          </w:tcPr>
          <w:p>
            <w:pPr>
              <w:pStyle w:val="TableContents"/>
              <w:bidi w:val="0"/>
              <w:spacing w:before="0" w:after="1"/>
              <w:ind w:left="0" w:right="0" w:hanging="0"/>
              <w:jc w:val="left"/>
              <w:rPr/>
            </w:pPr>
            <w:r>
              <w:rPr/>
              <w:t>​</w:t>
            </w:r>
          </w:p>
        </w:tc>
        <w:tc>
          <w:tcPr>
            <w:tcW w:w="132"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2,300</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34,934 </w:t>
            </w:r>
          </w:p>
        </w:tc>
        <w:tc>
          <w:tcPr>
            <w:tcW w:w="385"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35,279 </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(343)</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11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Trailing</w:t>
            </w:r>
          </w:p>
        </w:tc>
        <w:tc>
          <w:tcPr>
            <w:tcW w:w="34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20,890</w:t>
            </w:r>
          </w:p>
        </w:tc>
        <w:tc>
          <w:tcPr>
            <w:tcW w:w="382"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19,129</w:t>
            </w:r>
          </w:p>
        </w:tc>
        <w:tc>
          <w:tcPr>
            <w:tcW w:w="346" w:type="dxa"/>
            <w:tcBorders/>
            <w:vAlign w:val="center"/>
          </w:tcPr>
          <w:p>
            <w:pPr>
              <w:pStyle w:val="TableContents"/>
              <w:bidi w:val="0"/>
              <w:spacing w:before="0" w:after="1"/>
              <w:ind w:left="0" w:right="0" w:hanging="0"/>
              <w:jc w:val="left"/>
              <w:rPr/>
            </w:pPr>
            <w:r>
              <w:rPr/>
              <w:t>​</w:t>
            </w:r>
          </w:p>
        </w:tc>
        <w:tc>
          <w:tcPr>
            <w:tcW w:w="1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1,761</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42,880 </w:t>
            </w:r>
          </w:p>
        </w:tc>
        <w:tc>
          <w:tcPr>
            <w:tcW w:w="385"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39,858 </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3,022 </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w:t>
            </w:r>
          </w:p>
        </w:tc>
        <w:tc>
          <w:tcPr>
            <w:tcW w:w="26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11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commission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38,060</w:t>
            </w:r>
          </w:p>
        </w:tc>
        <w:tc>
          <w:tcPr>
            <w:tcW w:w="382" w:type="dxa"/>
            <w:tcBorders/>
            <w:shd w:fill="CCEEFF" w:val="clear"/>
            <w:vAlign w:val="center"/>
          </w:tcPr>
          <w:p>
            <w:pPr>
              <w:pStyle w:val="TableContents"/>
              <w:bidi w:val="0"/>
              <w:spacing w:before="0" w:after="1"/>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33,998</w:t>
            </w:r>
          </w:p>
        </w:tc>
        <w:tc>
          <w:tcPr>
            <w:tcW w:w="346" w:type="dxa"/>
            <w:tcBorders/>
            <w:shd w:fill="CCEEFF" w:val="clear"/>
            <w:vAlign w:val="center"/>
          </w:tcPr>
          <w:p>
            <w:pPr>
              <w:pStyle w:val="TableContents"/>
              <w:bidi w:val="0"/>
              <w:spacing w:before="0" w:after="1"/>
              <w:ind w:left="0" w:right="0" w:hanging="0"/>
              <w:jc w:val="left"/>
              <w:rPr/>
            </w:pPr>
            <w:r>
              <w:rPr/>
              <w:t>​</w:t>
            </w:r>
          </w:p>
        </w:tc>
        <w:tc>
          <w:tcPr>
            <w:tcW w:w="1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4,061</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77,814 </w:t>
            </w:r>
          </w:p>
        </w:tc>
        <w:tc>
          <w:tcPr>
            <w:tcW w:w="385"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75,137 </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 xml:space="preserve">2,681 </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Sales-based revenue increased by approximately $2.3 million and decreased by approximately $0.3 million or 15.0% and (1.0)% for the three-month and six-month period ended June 30, 2026, as compared to 2025. Trailing based revenue increased by approximately $1.7 million and $3.0 million or 9.0% and 7.6% for the three-month and six-month period ended June 30, 2026, as compared to 2025. The increase in sales-based revenue for the three-month period ended June 30, 2026 is primarily related to an increase in the sales of insurance products and the slight decrease for the six-month period ended June 30, 2026 as compared to 2025 is attributable to a decrease in investment banking revenue from the prior year, which is primarily offset by the increase in the sales of insurance based products. The increase in the trailing-based revenues is due to the increase in trail-based assets resulting from positive market volatility and positive net asset flows. Commission revenue is generated from brokerage assets. The following tables summarize the brokerage assets for the three-month and six-month periods ended June 30, 2026 and 2025 (in billions):</w:t>
      </w:r>
    </w:p>
    <w:tbl>
      <w:tblPr>
        <w:tblW w:w="3667" w:type="dxa"/>
        <w:jc w:val="left"/>
        <w:tblInd w:w="0" w:type="dxa"/>
        <w:tblLayout w:type="fixed"/>
        <w:tblCellMar>
          <w:top w:w="0" w:type="dxa"/>
          <w:left w:w="0" w:type="dxa"/>
          <w:bottom w:w="0" w:type="dxa"/>
          <w:right w:w="0" w:type="dxa"/>
        </w:tblCellMar>
      </w:tblPr>
      <w:tblGrid>
        <w:gridCol w:w="1516"/>
        <w:gridCol w:w="346"/>
        <w:gridCol w:w="211"/>
        <w:gridCol w:w="466"/>
        <w:gridCol w:w="346"/>
        <w:gridCol w:w="211"/>
        <w:gridCol w:w="57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962660" cy="175260"/>
                      <wp:effectExtent l="0" t="0" r="0" b="0"/>
                      <wp:wrapNone/>
                      <wp:docPr id="307" name="Frame30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95910" cy="175260"/>
                      <wp:effectExtent l="0" t="0" r="0" b="0"/>
                      <wp:wrapNone/>
                      <wp:docPr id="310" name="Frame31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62585" cy="175260"/>
                      <wp:effectExtent l="0" t="0" r="0" b="0"/>
                      <wp:wrapNone/>
                      <wp:docPr id="313" name="Frame3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 brokerage assets above are trail-eligible assets as follows (in billions):</w:t>
      </w:r>
    </w:p>
    <w:tbl>
      <w:tblPr>
        <w:tblW w:w="3937" w:type="dxa"/>
        <w:jc w:val="left"/>
        <w:tblInd w:w="0" w:type="dxa"/>
        <w:tblLayout w:type="fixed"/>
        <w:tblCellMar>
          <w:top w:w="0" w:type="dxa"/>
          <w:left w:w="0" w:type="dxa"/>
          <w:bottom w:w="0" w:type="dxa"/>
          <w:right w:w="0" w:type="dxa"/>
        </w:tblCellMar>
      </w:tblPr>
      <w:tblGrid>
        <w:gridCol w:w="1786"/>
        <w:gridCol w:w="346"/>
        <w:gridCol w:w="211"/>
        <w:gridCol w:w="466"/>
        <w:gridCol w:w="346"/>
        <w:gridCol w:w="211"/>
        <w:gridCol w:w="57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134110" cy="175260"/>
                      <wp:effectExtent l="0" t="0" r="0" b="0"/>
                      <wp:wrapNone/>
                      <wp:docPr id="314" name="Frame314"/>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95910" cy="175260"/>
                      <wp:effectExtent l="0" t="0" r="0" b="0"/>
                      <wp:wrapNone/>
                      <wp:docPr id="317" name="Frame31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62585" cy="175260"/>
                      <wp:effectExtent l="0" t="0" r="0" b="0"/>
                      <wp:wrapNone/>
                      <wp:docPr id="320" name="Frame3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Trail-Eligible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brokerage assets for the periods ended (in billions):</w:t>
      </w:r>
    </w:p>
    <w:tbl>
      <w:tblPr>
        <w:tblW w:w="8760" w:type="dxa"/>
        <w:jc w:val="left"/>
        <w:tblInd w:w="0" w:type="dxa"/>
        <w:tblLayout w:type="fixed"/>
        <w:tblCellMar>
          <w:top w:w="0" w:type="dxa"/>
          <w:left w:w="0" w:type="dxa"/>
          <w:bottom w:w="0" w:type="dxa"/>
          <w:right w:w="0" w:type="dxa"/>
        </w:tblCellMar>
      </w:tblPr>
      <w:tblGrid>
        <w:gridCol w:w="2596"/>
        <w:gridCol w:w="346"/>
        <w:gridCol w:w="342"/>
        <w:gridCol w:w="780"/>
        <w:gridCol w:w="561"/>
        <w:gridCol w:w="342"/>
        <w:gridCol w:w="780"/>
        <w:gridCol w:w="346"/>
        <w:gridCol w:w="309"/>
        <w:gridCol w:w="705"/>
        <w:gridCol w:w="507"/>
        <w:gridCol w:w="309"/>
        <w:gridCol w:w="8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48460" cy="175260"/>
                      <wp:effectExtent l="0" t="0" r="0" b="0"/>
                      <wp:wrapNone/>
                      <wp:docPr id="321" name="Frame32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7170" cy="175260"/>
                      <wp:effectExtent l="0" t="0" r="0" b="0"/>
                      <wp:wrapNone/>
                      <wp:docPr id="323" name="Frame32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95300" cy="175260"/>
                      <wp:effectExtent l="0" t="0" r="0" b="0"/>
                      <wp:wrapNone/>
                      <wp:docPr id="324" name="Frame32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56235" cy="175260"/>
                      <wp:effectExtent l="0" t="0" r="0" b="0"/>
                      <wp:wrapNone/>
                      <wp:docPr id="325" name="Frame32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7170" cy="175260"/>
                      <wp:effectExtent l="0" t="0" r="0" b="0"/>
                      <wp:wrapNone/>
                      <wp:docPr id="326" name="Frame32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5300" cy="175260"/>
                      <wp:effectExtent l="0" t="0" r="0" b="0"/>
                      <wp:wrapNone/>
                      <wp:docPr id="327" name="Frame327"/>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96215" cy="175260"/>
                      <wp:effectExtent l="0" t="0" r="0" b="0"/>
                      <wp:wrapNone/>
                      <wp:docPr id="329" name="Frame329"/>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47675" cy="175260"/>
                      <wp:effectExtent l="0" t="0" r="0" b="0"/>
                      <wp:wrapNone/>
                      <wp:docPr id="330" name="Frame330"/>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21945" cy="175260"/>
                      <wp:effectExtent l="0" t="0" r="0" b="0"/>
                      <wp:wrapNone/>
                      <wp:docPr id="331" name="Frame331"/>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96215" cy="175260"/>
                      <wp:effectExtent l="0" t="0" r="0" b="0"/>
                      <wp:wrapNone/>
                      <wp:docPr id="332" name="Frame332"/>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31495" cy="175260"/>
                      <wp:effectExtent l="0" t="0" r="0" b="0"/>
                      <wp:wrapNone/>
                      <wp:docPr id="333" name="Frame333"/>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1"/>
              <w:ind w:left="0" w:right="0" w:hanging="0"/>
              <w:jc w:val="left"/>
              <w:rPr/>
            </w:pPr>
            <w:r>
              <w:rPr/>
              <w:t>​</w:t>
            </w:r>
          </w:p>
        </w:tc>
        <w:tc>
          <w:tcPr>
            <w:tcW w:w="26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Flows-Brokerage Assets</w:t>
            </w:r>
          </w:p>
        </w:tc>
        <w:tc>
          <w:tcPr>
            <w:tcW w:w="346" w:type="dxa"/>
            <w:tcBorders/>
            <w:vAlign w:val="center"/>
          </w:tcPr>
          <w:p>
            <w:pPr>
              <w:pStyle w:val="TableContents"/>
              <w:bidi w:val="0"/>
              <w:spacing w:before="0" w:after="1"/>
              <w:ind w:left="0" w:right="0" w:hanging="0"/>
              <w:jc w:val="left"/>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1" w:type="dxa"/>
            <w:tcBorders/>
            <w:vAlign w:val="center"/>
          </w:tcPr>
          <w:p>
            <w:pPr>
              <w:pStyle w:val="TableContents"/>
              <w:bidi w:val="0"/>
              <w:spacing w:before="0" w:after="1"/>
              <w:ind w:left="0" w:right="0" w:hanging="0"/>
              <w:jc w:val="left"/>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7" w:type="dxa"/>
            <w:tcBorders/>
            <w:vAlign w:val="center"/>
          </w:tcPr>
          <w:p>
            <w:pPr>
              <w:pStyle w:val="TableContents"/>
              <w:bidi w:val="0"/>
              <w:spacing w:before="0" w:after="1"/>
              <w:ind w:left="0" w:right="0" w:hanging="0"/>
              <w:jc w:val="left"/>
              <w:rPr/>
            </w:pPr>
            <w:r>
              <w:rPr/>
              <w:t>  ​ ​ ​</w:t>
            </w:r>
          </w:p>
        </w:tc>
        <w:tc>
          <w:tcPr>
            <w:tcW w:w="11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561"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507"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new brokerage assets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561"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 </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507"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Market impact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561" w:type="dxa"/>
            <w:tcBorders/>
            <w:shd w:fill="CCEEFF" w:val="clear"/>
            <w:vAlign w:val="center"/>
          </w:tcPr>
          <w:p>
            <w:pPr>
              <w:pStyle w:val="TableContents"/>
              <w:bidi w:val="0"/>
              <w:spacing w:before="0" w:after="1"/>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507" w:type="dxa"/>
            <w:tcBorders/>
            <w:shd w:fill="CCEEFF" w:val="clear"/>
            <w:vAlign w:val="center"/>
          </w:tcPr>
          <w:p>
            <w:pPr>
              <w:pStyle w:val="TableContents"/>
              <w:bidi w:val="0"/>
              <w:spacing w:before="0" w:after="1"/>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4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561"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507"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25.1</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brokerage assets consist of total client deposits, less client withdrawals from brokerage accounts, plus dividends, plus interest.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These fees are recognized ratably over time to match the continued delivery of the performance obligations to the client over the life of the contract. The advisory fees generated from the Company’s corporate advisory platform are based on a percentage of the market value of the eligible assets in the clients’ advisory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increased by approximately 11.0% and 8.3% for the three and six-month period ended June 30, 2026, as compared to the same period in June 30, 2025, due to positive returns in the market for the year ended December 31, 2025. Substantially all of our advisory fees are billed quarterly in advance and therefore the pricing of those assets were based on the results of the market as of December 31, 2025, which was an increase over the same period for the prior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summarizes the advisory assets as of June 30, 2026 and 2025 (in billions):</w:t>
      </w:r>
    </w:p>
    <w:tbl>
      <w:tblPr>
        <w:tblW w:w="3367" w:type="dxa"/>
        <w:jc w:val="left"/>
        <w:tblInd w:w="0" w:type="dxa"/>
        <w:tblLayout w:type="fixed"/>
        <w:tblCellMar>
          <w:top w:w="0" w:type="dxa"/>
          <w:left w:w="0" w:type="dxa"/>
          <w:bottom w:w="0" w:type="dxa"/>
          <w:right w:w="0" w:type="dxa"/>
        </w:tblCellMar>
      </w:tblPr>
      <w:tblGrid>
        <w:gridCol w:w="1426"/>
        <w:gridCol w:w="346"/>
        <w:gridCol w:w="211"/>
        <w:gridCol w:w="361"/>
        <w:gridCol w:w="346"/>
        <w:gridCol w:w="211"/>
        <w:gridCol w:w="46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905510" cy="175260"/>
                      <wp:effectExtent l="0" t="0" r="0" b="0"/>
                      <wp:wrapNone/>
                      <wp:docPr id="334" name="Frame334"/>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29235" cy="175260"/>
                      <wp:effectExtent l="0" t="0" r="0" b="0"/>
                      <wp:wrapNone/>
                      <wp:docPr id="337" name="Frame3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95910" cy="175260"/>
                      <wp:effectExtent l="0" t="0" r="0" b="0"/>
                      <wp:wrapNone/>
                      <wp:docPr id="340" name="Frame34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advisory assets for the periods ended June 30, 2026 and 2025 (in billions):</w:t>
      </w:r>
    </w:p>
    <w:tbl>
      <w:tblPr>
        <w:tblW w:w="8762" w:type="dxa"/>
        <w:jc w:val="left"/>
        <w:tblInd w:w="0" w:type="dxa"/>
        <w:tblLayout w:type="fixed"/>
        <w:tblCellMar>
          <w:top w:w="0" w:type="dxa"/>
          <w:left w:w="0" w:type="dxa"/>
          <w:bottom w:w="0" w:type="dxa"/>
          <w:right w:w="0" w:type="dxa"/>
        </w:tblCellMar>
      </w:tblPr>
      <w:tblGrid>
        <w:gridCol w:w="2596"/>
        <w:gridCol w:w="346"/>
        <w:gridCol w:w="342"/>
        <w:gridCol w:w="780"/>
        <w:gridCol w:w="561"/>
        <w:gridCol w:w="342"/>
        <w:gridCol w:w="780"/>
        <w:gridCol w:w="346"/>
        <w:gridCol w:w="353"/>
        <w:gridCol w:w="604"/>
        <w:gridCol w:w="579"/>
        <w:gridCol w:w="353"/>
        <w:gridCol w:w="780"/>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648460" cy="175260"/>
                      <wp:effectExtent l="0" t="0" r="0" b="0"/>
                      <wp:wrapNone/>
                      <wp:docPr id="341" name="Frame34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7170" cy="175260"/>
                      <wp:effectExtent l="0" t="0" r="0" b="0"/>
                      <wp:wrapNone/>
                      <wp:docPr id="343" name="Frame34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95300" cy="175260"/>
                      <wp:effectExtent l="0" t="0" r="0" b="0"/>
                      <wp:wrapNone/>
                      <wp:docPr id="344" name="Frame34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56235" cy="175260"/>
                      <wp:effectExtent l="0" t="0" r="0" b="0"/>
                      <wp:wrapNone/>
                      <wp:docPr id="345" name="Frame34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7170" cy="175260"/>
                      <wp:effectExtent l="0" t="0" r="0" b="0"/>
                      <wp:wrapNone/>
                      <wp:docPr id="346" name="Frame34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95300" cy="175260"/>
                      <wp:effectExtent l="0" t="0" r="0" b="0"/>
                      <wp:wrapNone/>
                      <wp:docPr id="347" name="Frame347"/>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24155" cy="175260"/>
                      <wp:effectExtent l="0" t="0" r="0" b="0"/>
                      <wp:wrapNone/>
                      <wp:docPr id="349" name="Frame349"/>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83540" cy="175260"/>
                      <wp:effectExtent l="0" t="0" r="0" b="0"/>
                      <wp:wrapNone/>
                      <wp:docPr id="350" name="Frame350"/>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67665" cy="175260"/>
                      <wp:effectExtent l="0" t="0" r="0" b="0"/>
                      <wp:wrapNone/>
                      <wp:docPr id="351" name="Frame351"/>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24155" cy="175260"/>
                      <wp:effectExtent l="0" t="0" r="0" b="0"/>
                      <wp:wrapNone/>
                      <wp:docPr id="352" name="Frame35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95300" cy="175260"/>
                      <wp:effectExtent l="0" t="0" r="0" b="0"/>
                      <wp:wrapNone/>
                      <wp:docPr id="353" name="Frame353"/>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1"/>
              <w:ind w:left="0" w:right="0" w:hanging="0"/>
              <w:jc w:val="center"/>
              <w:rPr/>
            </w:pPr>
            <w:r>
              <w:rPr/>
              <w:t>​</w:t>
            </w:r>
          </w:p>
        </w:tc>
        <w:tc>
          <w:tcPr>
            <w:tcW w:w="26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Flows-Advisory Assets</w:t>
            </w:r>
          </w:p>
        </w:tc>
        <w:tc>
          <w:tcPr>
            <w:tcW w:w="346" w:type="dxa"/>
            <w:tcBorders/>
            <w:vAlign w:val="center"/>
          </w:tcPr>
          <w:p>
            <w:pPr>
              <w:pStyle w:val="TableContents"/>
              <w:bidi w:val="0"/>
              <w:spacing w:before="0" w:after="1"/>
              <w:ind w:left="0" w:right="0" w:hanging="0"/>
              <w:jc w:val="center"/>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1" w:type="dxa"/>
            <w:tcBorders/>
            <w:vAlign w:val="center"/>
          </w:tcPr>
          <w:p>
            <w:pPr>
              <w:pStyle w:val="TableContents"/>
              <w:bidi w:val="0"/>
              <w:spacing w:before="0" w:after="1"/>
              <w:ind w:left="0" w:right="0" w:hanging="0"/>
              <w:jc w:val="center"/>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9" w:type="dxa"/>
            <w:tcBorders/>
            <w:vAlign w:val="center"/>
          </w:tcPr>
          <w:p>
            <w:pPr>
              <w:pStyle w:val="TableContents"/>
              <w:bidi w:val="0"/>
              <w:spacing w:before="0" w:after="1"/>
              <w:ind w:left="0" w:right="0" w:hanging="0"/>
              <w:jc w:val="center"/>
              <w:rPr/>
            </w:pPr>
            <w:r>
              <w:rPr/>
              <w:t>  ​ ​ ​</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561"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579" w:type="dxa"/>
            <w:tcBorders/>
            <w:shd w:fill="CCEEFF" w:val="cle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new advisory assets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61"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579" w:type="dxa"/>
            <w:tcBorders/>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Market impact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561" w:type="dxa"/>
            <w:tcBorders/>
            <w:shd w:fill="CCEEFF" w:val="clear"/>
            <w:vAlign w:val="center"/>
          </w:tcPr>
          <w:p>
            <w:pPr>
              <w:pStyle w:val="TableContents"/>
              <w:bidi w:val="0"/>
              <w:spacing w:before="0" w:after="1"/>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579" w:type="dxa"/>
            <w:tcBorders/>
            <w:shd w:fill="CCEEFF" w:val="clear"/>
            <w:vAlign w:val="center"/>
          </w:tcPr>
          <w:p>
            <w:pPr>
              <w:pStyle w:val="TableContents"/>
              <w:bidi w:val="0"/>
              <w:spacing w:before="0" w:after="1"/>
              <w:ind w:left="0" w:right="0" w:hanging="0"/>
              <w:jc w:val="righ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46" w:type="dxa"/>
            <w:tcBorders/>
            <w:vAlign w:val="center"/>
          </w:tcPr>
          <w:p>
            <w:pPr>
              <w:pStyle w:val="TableContents"/>
              <w:bidi w:val="0"/>
              <w:spacing w:before="0" w:after="1"/>
              <w:ind w:left="0" w:right="0" w:hanging="0"/>
              <w:jc w:val="left"/>
              <w:rPr/>
            </w:pPr>
            <w:r>
              <w:rPr/>
              <w:t> </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561"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579" w:type="dxa"/>
            <w:tcBorders/>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advisory assets consist of total client deposits less client withdrawals from custodial accounts, plus dividends, plus interest, minus advisory fees.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includes amounts earned on balances held at the Company’s clearing brokers related to cash balances and margin balances. The Company’s clearing agreements include provisions that provide for a sharing of the income earned on such balances with the clearing brokers. The rate varies based on the clearing broker.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primarily includes amounts earned by the Company related to marketing and incentives earned from the sales of certain investment products by the financial advisors to its clients, primarily alternative investments, as well as sponsorship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and other income remained relatively stable during the three-month period ended June 30, 2026 as compared to same period in the prior year, increasing $0.1 million. The increase in interest and other income for the six-month period ended June 30, 2026, compared to 2025 is related to a gain contingency that was realized during the first quarter of 2026 in the amount of $0.7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 and Fees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Commissions and fees primarily consist of commissions paid to the financial advisors, technology costs associated with the platform for which the financial advisors operate their business, insurance costs and regulatory costs. Certain of the technology, insurance and regulatory costs are passed through to the financial advisors and any excess costs are included as fees within commissions and fees. The commissions and fees paid to the financial advisors are based on the advisory and commission revenue earned on each client’s account. The payout amount is production based, which is the gross revenue produced by the financial advisor, and varies based on the level of such production ranging from 50% to 95% of the revenue generated. The production levels begin at gross revenue of $15,000 up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$4,000,000 and up, and the payout rate starts at 50% and increases to a top payout rate of 94% for annual production of $4,000,000 and 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payout rate, which is a statistical or operating measure and monitored to review that such costs of revenue remain consistent on a period over period basis:</w:t>
      </w:r>
    </w:p>
    <w:tbl>
      <w:tblPr>
        <w:tblW w:w="5675" w:type="dxa"/>
        <w:jc w:val="left"/>
        <w:tblInd w:w="0" w:type="dxa"/>
        <w:tblLayout w:type="fixed"/>
        <w:tblCellMar>
          <w:top w:w="0" w:type="dxa"/>
          <w:left w:w="0" w:type="dxa"/>
          <w:bottom w:w="0" w:type="dxa"/>
          <w:right w:w="0" w:type="dxa"/>
        </w:tblCellMar>
      </w:tblPr>
      <w:tblGrid>
        <w:gridCol w:w="1186"/>
        <w:gridCol w:w="346"/>
        <w:gridCol w:w="1066"/>
        <w:gridCol w:w="673"/>
        <w:gridCol w:w="1066"/>
        <w:gridCol w:w="361"/>
        <w:gridCol w:w="661"/>
        <w:gridCol w:w="316"/>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53110" cy="175260"/>
                      <wp:effectExtent l="0" t="0" r="0" b="0"/>
                      <wp:wrapNone/>
                      <wp:docPr id="354" name="Frame35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76910" cy="175260"/>
                      <wp:effectExtent l="0" t="0" r="0" b="0"/>
                      <wp:wrapNone/>
                      <wp:docPr id="356" name="Frame35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27355" cy="175260"/>
                      <wp:effectExtent l="0" t="0" r="0" b="0"/>
                      <wp:wrapNone/>
                      <wp:docPr id="357" name="Frame35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76910" cy="175260"/>
                      <wp:effectExtent l="0" t="0" r="0" b="0"/>
                      <wp:wrapNone/>
                      <wp:docPr id="358" name="Frame35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29235" cy="175260"/>
                      <wp:effectExtent l="0" t="0" r="0" b="0"/>
                      <wp:wrapNone/>
                      <wp:docPr id="359" name="Frame3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19735" cy="175260"/>
                      <wp:effectExtent l="0" t="0" r="0" b="0"/>
                      <wp:wrapNone/>
                      <wp:docPr id="360" name="Frame36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0660" cy="175260"/>
                      <wp:effectExtent l="0" t="0" r="0" b="0"/>
                      <wp:wrapNone/>
                      <wp:docPr id="361" name="Frame3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0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1"/>
              <w:ind w:left="0" w:right="0" w:hanging="0"/>
              <w:jc w:val="center"/>
              <w:rPr/>
            </w:pPr>
            <w:r>
              <w:rPr/>
              <w:t>  ​ ​ ​</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73"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Payout range</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80.71</w:t>
            </w:r>
          </w:p>
        </w:tc>
        <w:tc>
          <w:tcPr>
            <w:tcW w:w="6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0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61" w:type="dxa"/>
            <w:tcBorders/>
            <w:vAlign w:val="center"/>
          </w:tcPr>
          <w:p>
            <w:pPr>
              <w:pStyle w:val="TableContents"/>
              <w:bidi w:val="0"/>
              <w:spacing w:before="0" w:after="1"/>
              <w:ind w:left="0" w:right="0" w:hanging="0"/>
              <w:jc w:val="center"/>
              <w:rPr/>
            </w:pPr>
            <w:r>
              <w:rPr/>
              <w:t>  ​ ​ ​</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73" w:type="dxa"/>
            <w:tcBorders/>
            <w:shd w:fill="CCEEFF" w:val="clear"/>
            <w:vAlign w:val="center"/>
          </w:tcPr>
          <w:p>
            <w:pPr>
              <w:pStyle w:val="TableContents"/>
              <w:bidi w:val="0"/>
              <w:spacing w:before="0" w:after="1"/>
              <w:ind w:left="0" w:right="0" w:hanging="0"/>
              <w:jc w:val="center"/>
              <w:rPr/>
            </w:pPr>
            <w:r>
              <w:rPr/>
              <w:t>  ​ ​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shd w:fill="CCEEFF" w:val="clear"/>
            <w:vAlign w:val="center"/>
          </w:tcPr>
          <w:p>
            <w:pPr>
              <w:pStyle w:val="TableContents"/>
              <w:bidi w:val="0"/>
              <w:spacing w:before="0" w:after="1"/>
              <w:ind w:left="0" w:right="0" w:hanging="0"/>
              <w:jc w:val="center"/>
              <w:rPr/>
            </w:pPr>
            <w:r>
              <w:rPr/>
              <w:t>  ​ ​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1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Payout range</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81.29</w:t>
            </w:r>
          </w:p>
        </w:tc>
        <w:tc>
          <w:tcPr>
            <w:tcW w:w="6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three-month period ended June 30, 2026 the payout rate remained consistent, increasing by approximately 0.1%. For the six-month period ended June 30, 2026, the payout rate decreased by approximately 1.1% which is directly related to the investment banking revenue that was earned during the period ended June 30, 2025 that included a commission pay-out percentage of 90% to the advisors associated with such revenue.</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Employee compensation and benefits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Employee compensation and benefits includes salaries, wages, benefits and related taxes for our employees.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Employee compensation and benefits has remained stable during the three and six month periods ended June 30, 2026 decreasing by approximately $0.2 million for the three months ended June 30, 2026 and increasing by approximately $0.4 million for the six months ended June 30, 2026 as compared to June 30, 2025.</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Rent and occupancy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Rent and occupancy remained relatively consistent for the three and six-month periods ended June 30, 2026 as compared to June 30, 2025.</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Professional fees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Professional fees includes costs incurred related to legal and accounting services. Professional fees for the three and six-month period ended June 30, 2026 as compared to same period in 2025 decreased by approximately $0.2 million representing the stabilization of the professional fees associated with operating as a public company.</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Technology fees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Technology fees primarily represent infrastructure costs that support the Company’s technology and communications costs. Technology fees increased by $0.1 million for the three and six-month period ended June 30, 2026, as compared to the same period in 2025.</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Interest expense primarily includes interest associated with the Company’s credit facility and other debt obligations. Interest expense decreased by $0.03 million and $0.07 million for the three and six-month period ended June 30, 2026, as compared to the same period in 2025 resulting from the decrease in the interest rate associated with our senior credit facility. </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Depreciation and amortization relates to the use of property, equipment and leasehold improvements. Amortization also includes the amortization related to certain intangible assets.</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Other expense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Other expense includes insurance, travel-related expenses, office expenses, marketing and other miscellaneous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Our effective income tax rate was approximately 20% for the three-month period ended June 30, 2026 and 27% for the six-month period ended June 30, 2026 as compared to (17)% and 58% for the same periods in 2025. The change in our effective tax rate was related to the increase in net income generated for the three-month period ended June 30, 2026 and changes in state taxes, warrant revaluations, and other permanent differences for the six-month period ended June 30, 2026.</w:t>
      </w:r>
    </w:p>
    <w:p>
      <w:pPr>
        <w:pStyle w:val="TextBody"/>
        <w:bidi w:val="0"/>
        <w:spacing w:before="0" w:after="22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have established liquidity policies intended to support the execution of strategic initiatives, while meeting regulatory capital requirements and maintaining ongoing and sufficient liquidity. We believe liquidity is of critical importance to the Company and, in particular, to our broker-dealer subsidiaries, PKSI, CLS, PKSS and WEG. The objective of our policies is to ensure that we can meet our strategic, operational and regulatory liquidity and capital requirements under both normal operating conditions and under periods of stress in the financial markets.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Parent Company 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Binah Capital Group, Inc. through its indirectly wholly owned subsidiary BMS, is the direct holding company of our operating subsidiaries, and considers its primary sources of liquidity to be dividends and management fees from our operating subsidiaries.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we had $16.7 million outstanding under our Credit Agreement with Byline Bank, net of unamortized debt issuance costs. The associated debt facilities are as follows: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Byline Bank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June 30, 2026 and December 31, 2025, the outstanding balance under the Term Loan was $16.7 million and $17.7 million, respectively, net of unamortized 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June 30, 2026 and December 31, 2025, the amounts outstanding under the Non-Revolving Loan or Letter of Credit was $0.05 million and $0.00 million, respectively. The Letters of Credit were issued to support two office leases. The Letters of Credit are due on demand and carry an interest rate at the same rate as the Term Loan as outlined below.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the Term SOFR plus four percent (4.00%) per annum; and (iii) if any other obligations is created under the Loan Documents (as defined in the Credit Agreement), at the Term Loan Interest Rate. As of June 30, 2026 and December 31, 2025, the effective interest rate was approximately 7.5% and 7.9%,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interest rate swap had a fair value liability of $0.07 and $0.2 million, respectively and is included in accounts payable, accrued expenses and other liabilities on the consolidated statement of financial conditions. The Company has adopted the shortcut method allowing it to assume perfect hedge effectiveness. Changes in the effective portion of the swap’s fair value are recognized in accumulated other comprehensive income (“AOCI”) and included on the Condensed Consolidated Statement of Other Comprehensive Income (Loss).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covenants limiting the indebtedness that can be incurred by BMS and restricting BMS’s ability to make certain loans and investments. Additionally, BMS is subject to financial covenants whereby BMS and its subsidiaries on a consolidated basis may not have, as of the last day of each fiscal quarter, which commenced with its fiscal quarter ended on March 31, 2025, (i)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in accordance with the Credit Agreement, BMS deposited $1.0 million into an A/P Reserve Account and is classified as restricted cash. During the period ended June 30, 2026, $0.5 million was released from the A/P Reserve Account and accordingly the balance of the A/P Reserve Account as of June 30, 2026 is $0.5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minimum calendar maturities of the Term Loan as of June 30, 2026, are as follows </w:t>
      </w:r>
      <w:r>
        <w:rPr>
          <w:rFonts w:ascii="Times New Roman;Times;serif" w:hAnsi="Times New Roman;Times;serif"/>
          <w:b/>
          <w:i/>
          <w:sz w:val="20"/>
        </w:rPr>
        <w:t>(in thousands)</w:t>
      </w:r>
      <w:r>
        <w:rPr>
          <w:rFonts w:ascii="Times New Roman;Times;serif" w:hAnsi="Times New Roman;Times;serif"/>
          <w:sz w:val="20"/>
        </w:rPr>
        <w:t>:</w:t>
      </w:r>
    </w:p>
    <w:tbl>
      <w:tblPr>
        <w:tblW w:w="1879" w:type="dxa"/>
        <w:jc w:val="left"/>
        <w:tblInd w:w="0" w:type="dxa"/>
        <w:tblLayout w:type="fixed"/>
        <w:tblCellMar>
          <w:top w:w="0" w:type="dxa"/>
          <w:left w:w="0" w:type="dxa"/>
          <w:bottom w:w="0" w:type="dxa"/>
          <w:right w:w="0" w:type="dxa"/>
        </w:tblCellMar>
      </w:tblPr>
      <w:tblGrid>
        <w:gridCol w:w="541"/>
        <w:gridCol w:w="34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43535" cy="175260"/>
                      <wp:effectExtent l="0" t="0" r="0" b="0"/>
                      <wp:wrapNone/>
                      <wp:docPr id="362" name="Frame36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95935" cy="175260"/>
                      <wp:effectExtent l="0" t="0" r="0" b="0"/>
                      <wp:wrapNone/>
                      <wp:docPr id="365"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center"/>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w:t>
            </w:r>
          </w:p>
        </w:tc>
      </w:tr>
      <w:tr>
        <w:trPr/>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17,255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Series A Redeemable Convertible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“Funding Date”) in connection with the consummation of the Business Combination, the Company and BMS entered into a Subscription Agreement with an investor for the purchase of 1,500,000 shares of Holdings’ Series A Redeemable Convertible Preferred Stock (the “Series A Stock”) in a private placement at $9.60 per share, for an aggregate purchase price of $14.4 million (the “Series A PIPE”). The Series A Stock may be converted into shares of the Company’s Common Stock after the second anniversary of the closing of the Series A PIPE, which such conversion shall initially be 1.5 shares of the Company’s Common Stock for each share of Series A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Series A Stock carries a cumulative dividend at a rate of nine percent (9%) per annum, payable and compounded quarterly on the last day of each quarter. At the discretion of the Company, the payment may be made in cash or up to 50% of the amount due, in duly authorized, validly issued, fully paid and non-assessable share of Holdings Series A Stock at a value of $10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accrued 50% of the dividend to be paid in cash in the approximate amount of $0.2 million and paid an in-kind dividend in the approximate amount of $0.2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greater of $12.50 per share of Series A Stock if such liquidation occurs prior to the first anniversary of the Funding Date;</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Series A Stock if such liquidation occurs prior to the second anniversary of the Funding Date;</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Series A Stock if such liquidation occurs prior to the third anniversary of the Funding Date;</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Series A Stock if such liquidation occurs prior to the fourth anniversary of the Funding 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at its option, may redeem the Series A Stock on any anniversary of the Funding Date up to and including the fourth anniversary of the Funding Date at the following redemption prices:</w:t>
      </w:r>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per share of Series A Stock on the first anniversary of the Funding Date;</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Series A Stock on the second anniversary of the Funding Date;</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Series A Stock on the third anniversary of the Funding Date;</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Series A Stock on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the Company on the fourth anniversary of the Funding Date.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Series B Convertible Preferred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(the “Series B Stock”) in a private placement at $10.00 per share, for an aggregate purchase price of $1.5 million. The Series B Stock may be converted into shares of the Company’s Common Stock, at the option of the investor at a rate equal to the quotient of (i) $10.00 divided, by (ii) the product of (A). 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Series B Stock carries a cumulative dividend at a rate of seven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June 30, 2026 and December 31, 2025, included in accounts payable, accrued expenses and other liabilities on the accompanying condensed consolidated statements of financial condition is an accrued dividend in the amount of $0.03 million that was paid subsequently to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be greater than $20.00.</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Promissory notes - affiliates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30, 2017, BMS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restructured.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restructured.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restructuring of these notes,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June 30, 2026 and December 31, 2025 was $5.3 million. The terms of these new promissory notes provide for maturity on May 15, 2027 and carries an interest rate of Prime plus 1.00%, but no less than 7.50% per annum. Related interest expense was approximately $0.1 million for the three months ended June 30, 2026 and 2025 and $0.3 million for the six months ended June 30,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cash flows for the six-month periods ended June 30, 2026 and 2025:</w:t>
      </w:r>
    </w:p>
    <w:tbl>
      <w:tblPr>
        <w:tblW w:w="5881" w:type="dxa"/>
        <w:jc w:val="left"/>
        <w:tblInd w:w="0" w:type="dxa"/>
        <w:tblLayout w:type="fixed"/>
        <w:tblCellMar>
          <w:top w:w="0" w:type="dxa"/>
          <w:left w:w="0" w:type="dxa"/>
          <w:bottom w:w="0" w:type="dxa"/>
          <w:right w:w="0" w:type="dxa"/>
        </w:tblCellMar>
      </w:tblPr>
      <w:tblGrid>
        <w:gridCol w:w="3466"/>
        <w:gridCol w:w="346"/>
        <w:gridCol w:w="223"/>
        <w:gridCol w:w="730"/>
        <w:gridCol w:w="115"/>
        <w:gridCol w:w="223"/>
        <w:gridCol w:w="778"/>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200910" cy="175260"/>
                      <wp:effectExtent l="0" t="0" r="0" b="0"/>
                      <wp:wrapNone/>
                      <wp:docPr id="366" name="Frame36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41605" cy="175260"/>
                      <wp:effectExtent l="0" t="0" r="0" b="0"/>
                      <wp:wrapNone/>
                      <wp:docPr id="368" name="Frame36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63550" cy="175260"/>
                      <wp:effectExtent l="0" t="0" r="0" b="0"/>
                      <wp:wrapNone/>
                      <wp:docPr id="369" name="Frame369"/>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3025" cy="175260"/>
                      <wp:effectExtent l="0" t="0" r="0" b="0"/>
                      <wp:wrapNone/>
                      <wp:docPr id="370" name="Frame370"/>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1605" cy="175260"/>
                      <wp:effectExtent l="0" t="0" r="0" b="0"/>
                      <wp:wrapNone/>
                      <wp:docPr id="371" name="Frame37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4030" cy="175260"/>
                      <wp:effectExtent l="0" t="0" r="0" b="0"/>
                      <wp:wrapNone/>
                      <wp:docPr id="372" name="Frame372"/>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0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9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5" w:type="dxa"/>
            <w:tcBorders/>
            <w:vAlign w:val="center"/>
          </w:tcPr>
          <w:p>
            <w:pPr>
              <w:pStyle w:val="TableContents"/>
              <w:bidi w:val="0"/>
              <w:spacing w:before="0" w:after="1"/>
              <w:ind w:left="0" w:right="0" w:hanging="0"/>
              <w:jc w:val="center"/>
              <w:rPr/>
            </w:pPr>
            <w:r>
              <w:rPr/>
              <w:t>​</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15"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change in cash flows</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115"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Operating Activities</w:t>
      </w:r>
      <w:r>
        <w:rPr>
          <w:rFonts w:ascii="Times New Roman;Times;serif" w:hAnsi="Times New Roman;Times;serif"/>
          <w:sz w:val="20"/>
        </w:rPr>
        <w:t>. Net cash provided by operating activities was $1.7 million for the six-month period ended June 30, 2026, compared to net cash provided by operating activities of $1.1 million for the six-month period ended June 30, 2025, representing an increase of approximately $0.5 million or 46.5%. The increase was primarily attributable to the increase in share-based compensation of $0.2 million and an increase in net income of approximately $1.8 million offset by a decrease in accounts payable, accrued expenses and other liabilities of approximately $2.8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Investing Activities</w:t>
      </w:r>
      <w:r>
        <w:rPr>
          <w:rFonts w:ascii="Times New Roman;Times;serif" w:hAnsi="Times New Roman;Times;serif"/>
          <w:sz w:val="20"/>
        </w:rPr>
        <w:t>. Net cash used in investing activities was $0.01 million for the six-month period ended June 30, 2026, compared with the $0.01 million for the six-month period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Financing Activities</w:t>
      </w:r>
      <w:r>
        <w:rPr>
          <w:rFonts w:ascii="Times New Roman;Times;serif" w:hAnsi="Times New Roman;Times;serif"/>
          <w:sz w:val="20"/>
        </w:rPr>
        <w:t>. Net cash used in financing activities was approximately $1.4 million for the six-month periods ended June 30, 2026 and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contractual obligations and other commitments as of June 30, 2026:</w:t>
      </w:r>
    </w:p>
    <w:tbl>
      <w:tblPr>
        <w:tblW w:w="9854" w:type="dxa"/>
        <w:jc w:val="left"/>
        <w:tblInd w:w="0" w:type="dxa"/>
        <w:tblLayout w:type="fixed"/>
        <w:tblCellMar>
          <w:top w:w="0" w:type="dxa"/>
          <w:left w:w="0" w:type="dxa"/>
          <w:bottom w:w="0" w:type="dxa"/>
          <w:right w:w="0" w:type="dxa"/>
        </w:tblCellMar>
      </w:tblPr>
      <w:tblGrid>
        <w:gridCol w:w="2626"/>
        <w:gridCol w:w="346"/>
        <w:gridCol w:w="211"/>
        <w:gridCol w:w="676"/>
        <w:gridCol w:w="346"/>
        <w:gridCol w:w="356"/>
        <w:gridCol w:w="965"/>
        <w:gridCol w:w="346"/>
        <w:gridCol w:w="211"/>
        <w:gridCol w:w="676"/>
        <w:gridCol w:w="346"/>
        <w:gridCol w:w="211"/>
        <w:gridCol w:w="676"/>
        <w:gridCol w:w="346"/>
        <w:gridCol w:w="483"/>
        <w:gridCol w:w="1033"/>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667510" cy="175260"/>
                      <wp:effectExtent l="0" t="0" r="0" b="0"/>
                      <wp:wrapNone/>
                      <wp:docPr id="373" name="Frame37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29260" cy="175260"/>
                      <wp:effectExtent l="0" t="0" r="0" b="0"/>
                      <wp:wrapNone/>
                      <wp:docPr id="376" name="Frame3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26060" cy="175260"/>
                      <wp:effectExtent l="0" t="0" r="0" b="0"/>
                      <wp:wrapNone/>
                      <wp:docPr id="378" name="Frame37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12775" cy="175260"/>
                      <wp:effectExtent l="0" t="0" r="0" b="0"/>
                      <wp:wrapNone/>
                      <wp:docPr id="379" name="Frame379"/>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29260" cy="175260"/>
                      <wp:effectExtent l="0" t="0" r="0" b="0"/>
                      <wp:wrapNone/>
                      <wp:docPr id="382" name="Frame3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29260" cy="175260"/>
                      <wp:effectExtent l="0" t="0" r="0" b="0"/>
                      <wp:wrapNone/>
                      <wp:docPr id="385" name="Frame3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06705" cy="175260"/>
                      <wp:effectExtent l="0" t="0" r="0" b="0"/>
                      <wp:wrapNone/>
                      <wp:docPr id="387" name="Frame387"/>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55955" cy="175260"/>
                      <wp:effectExtent l="0" t="0" r="0" b="0"/>
                      <wp:wrapNone/>
                      <wp:docPr id="388" name="Frame388"/>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88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3-5 Years</w:t>
            </w:r>
          </w:p>
        </w:tc>
        <w:tc>
          <w:tcPr>
            <w:tcW w:w="346" w:type="dxa"/>
            <w:tcBorders/>
            <w:vAlign w:val="center"/>
          </w:tcPr>
          <w:p>
            <w:pPr>
              <w:pStyle w:val="TableContents"/>
              <w:bidi w:val="0"/>
              <w:spacing w:before="0" w:after="1"/>
              <w:ind w:left="0" w:right="0" w:hanging="0"/>
              <w:jc w:val="center"/>
              <w:rPr/>
            </w:pPr>
            <w:r>
              <w:rPr/>
              <w:t>  ​ ​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9854"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46" w:type="dxa"/>
            <w:tcBorders/>
            <w:vAlign w:val="center"/>
          </w:tcPr>
          <w:p>
            <w:pPr>
              <w:pStyle w:val="TableContents"/>
              <w:bidi w:val="0"/>
              <w:spacing w:before="0" w:after="1"/>
              <w:ind w:left="0" w:right="0" w:hanging="0"/>
              <w:jc w:val="left"/>
              <w:rPr/>
            </w:pPr>
            <w:r>
              <w:rPr/>
              <w:t> </w:t>
            </w:r>
          </w:p>
        </w:tc>
        <w:tc>
          <w:tcPr>
            <w:tcW w:w="6882"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 obligations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17,255</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w:t>
            </w:r>
          </w:p>
        </w:tc>
        <w:tc>
          <w:tcPr>
            <w:tcW w:w="346" w:type="dxa"/>
            <w:tcBorders/>
            <w:shd w:fill="CCEEFF" w:val="clear"/>
            <w:vAlign w:val="center"/>
          </w:tcPr>
          <w:p>
            <w:pPr>
              <w:pStyle w:val="TableContents"/>
              <w:bidi w:val="0"/>
              <w:spacing w:before="0" w:after="1"/>
              <w:ind w:left="0" w:right="0" w:hanging="0"/>
              <w:jc w:val="left"/>
              <w:rPr/>
            </w:pPr>
            <w:r>
              <w:rPr/>
              <w:t>​</w:t>
            </w:r>
          </w:p>
        </w:tc>
        <w:tc>
          <w:tcPr>
            <w:tcW w:w="4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Promissory notes - affiliates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3"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obligations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bidi w:val="0"/>
              <w:spacing w:before="0" w:after="1"/>
              <w:ind w:left="0" w:right="0" w:hanging="0"/>
              <w:jc w:val="left"/>
              <w:rPr/>
            </w:pPr>
            <w:r>
              <w:rPr/>
              <w:t>​</w:t>
            </w:r>
          </w:p>
        </w:tc>
        <w:tc>
          <w:tcPr>
            <w:tcW w:w="4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26,843</w:t>
            </w:r>
          </w:p>
        </w:tc>
        <w:tc>
          <w:tcPr>
            <w:tcW w:w="346" w:type="dxa"/>
            <w:tcBorders/>
            <w:vAlign w:val="center"/>
          </w:tcPr>
          <w:p>
            <w:pPr>
              <w:pStyle w:val="TableContents"/>
              <w:bidi w:val="0"/>
              <w:spacing w:before="0" w:after="1"/>
              <w:ind w:left="0" w:right="0" w:hanging="0"/>
              <w:jc w:val="left"/>
              <w:rPr/>
            </w:pPr>
            <w:r>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10,820</w:t>
            </w:r>
          </w:p>
        </w:tc>
        <w:tc>
          <w:tcPr>
            <w:tcW w:w="346" w:type="dxa"/>
            <w:tcBorders/>
            <w:vAlign w:val="center"/>
          </w:tcPr>
          <w:p>
            <w:pPr>
              <w:pStyle w:val="TableContents"/>
              <w:bidi w:val="0"/>
              <w:spacing w:before="0" w:after="1"/>
              <w:ind w:left="0" w:right="0" w:hanging="0"/>
              <w:jc w:val="left"/>
              <w:rPr/>
            </w:pPr>
            <w:r>
              <w:rPr/>
              <w:t>​</w:t>
            </w:r>
          </w:p>
        </w:tc>
        <w:tc>
          <w:tcPr>
            <w:tcW w:w="4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principal obligations related to the Byline Credit Agreement that was entered into during the year ended December 31, 2024.</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obligations under the amounts due to certain sellers of the PKSH entities. The notes mature in March 2027.</w:t>
            </w:r>
          </w:p>
        </w:tc>
      </w:tr>
    </w:tbl>
    <w:tbl>
      <w:tblPr>
        <w:tblW w:w="8537" w:type="dxa"/>
        <w:jc w:val="left"/>
        <w:tblInd w:w="0" w:type="dxa"/>
        <w:tblLayout w:type="fixed"/>
        <w:tblCellMar>
          <w:top w:w="0" w:type="dxa"/>
          <w:left w:w="0" w:type="dxa"/>
          <w:bottom w:w="0" w:type="dxa"/>
          <w:right w:w="0" w:type="dxa"/>
        </w:tblCellMar>
      </w:tblPr>
      <w:tblGrid>
        <w:gridCol w:w="346"/>
        <w:gridCol w:w="81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future minimum lease payments as of June 30, 2026, under non-cancelable office leases.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consolidated financial statements and accompanying notes. Although these estimates are based on the Company’s knowledge of current events and actions the Company may undertake in the future, actual results could differ from those estimates and assumptions.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define our critical accounting policies and estimates as those that require us to make subjective judgments about matters that are uncertain and are likely to have a material impact on our financial condition and results of operations as well as the specific manner in which we apply those principles. We believe the critical accounting policies used in the preparation of our financial statements which require significant estimates and judgments are as follows: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Revenues from contracts with customers are recognized when control of the promised services is transferred to customers, in an amount that reflects the consideration the Company expects to be entitled to in exchange for those services. Management exercises judgment in determining whether the Company is the principal (i.e., reports revenues on a gross basis) or agent (i.e., reports revenue on a net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additional information see Note 3 in the condensed consolidated financial statements as of and for the three and six-month periods ended June 30, 2026 and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and other intangible assets are tested annually for impairment or if certain events occur indicating that the carrying amounts may be impaired.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greater than its carrying amount, then performing the two-step impairment test is not required. However, if we conclude otherwise, we are then required to perform the first step of the two-step impairment test. Goodwill impairment is determined by comparing the estimated fair value of a reporting unit with its respective carrying value. If the estimated fair value exceeds the carrying value, goodwill at the reporting unit level is not deemed to be impaired. If the estimated fair value is below the carrying value, however, further analysis is required to determine the amount of the impairment. Additionally, if the carrying value of a reporting unit is zero or a negative value and it is determined that it is more likely than not the goodwill is impaired, further analysis is required. The estimated fair values of the reporting units are derived based on valuation techniques we believe market participants would use for each of the reporting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performed our goodwill impairment test as of and for the years ended December 31, 2025, and 2024. The estimated fair value of the reporting units were determined using the market approach for each reporting unit, relying specifically on the guideline public company method. Our guideline public company method incorporates revenue and earnings multiples from publicly traded companies with operations and other characteristics similar to each reporting unit. As a result of the 2025 and 2024 annual impairment tests, the fair value of the reporting units was approximately 225% and 270% greater than its carrying value, respectively. Since there have been no events or circumstances which indicated that it was more likely than not the fair value of the reporting units were below their carrying amount, interim goodwill tests were not considered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goodwill impairment test requires us to make judgments in determining what assumptions to use in the calculation. Assumptions, judgments, and estimates about future cash flows and discount rates are complex and often subjective. They can be affected by a variety of factors, including, among others, economic trends and market conditions, changes in revenue growth trends or business strategies, unanticipated competition, discount rates, technology, or government regulations. In assessing the fair value of our reporting units, the volatile nature of the securities markets and industry requires us to consider the business and market cycle and assess the stage of the cycle in estimating the timing and extent of future cash flows. In addition to discounted cash flows, we consider other information, such as public market comparable and multiples of recent mergers and acquisitions of similar businesses. Although we believe the assumptions, judgments, and estimates we have made in the past have been reasonable and appropriate, different assumptions, judgments, and estimates could materially affect our reported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 to Note 2 - </w:t>
      </w:r>
      <w:r>
        <w:rPr>
          <w:rFonts w:ascii="Times New Roman;Times;serif" w:hAnsi="Times New Roman;Times;serif"/>
          <w:i/>
          <w:sz w:val="20"/>
        </w:rPr>
        <w:t>Summary of Significant Accounting Policies,</w:t>
      </w:r>
      <w:r>
        <w:rPr>
          <w:rFonts w:ascii="Times New Roman;Times;serif" w:hAnsi="Times New Roman;Times;serif"/>
          <w:sz w:val="20"/>
        </w:rPr>
        <w:t> within the notes to the condensed consolidated financial statements for a discussion of recent accounting pronouncements or changes in accounting pronouncements that are of significance, or potential significance, to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06" w:name="Item3QuantitativeandQualitativeDisclosur"/>
      <w:bookmarkStart w:id="1407" w:name="_7c482fe9_7b98_4154_98fe_e0015317f25a"/>
      <w:bookmarkEnd w:id="1406"/>
      <w:bookmarkEnd w:id="1407"/>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risk associated with changes in interest rates. As of June 30, 2026, $7.7 million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share of the interest earned in our clients’ cash balances held at our clearing brokers, which is generally subject to the same, but offsetting interest rate risk.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08" w:name="Item4ControlsandProcedures_897667"/>
      <w:bookmarkStart w:id="1409" w:name="_f2259413_033a_43d2_97ff_732611086209"/>
      <w:bookmarkEnd w:id="1408"/>
      <w:bookmarkEnd w:id="1409"/>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and accounting officer, we conducted an evaluation of the effectiveness of our disclosure controls and procedures as of June 30, 2026, as such term is defined in Rules 13a-15(e) and 15d-15(e) under the Exchange Act. Based on this evaluation, our principal executive officer and principal financial and accounting officer have concluded that as of June 30, 2026, our disclosure controls and procedures were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10" w:name="PARTIIOTHERINFORMATION_669421"/>
      <w:bookmarkStart w:id="1411" w:name="_58dcd0de_6525_456e_b899_530f06c027db"/>
      <w:bookmarkEnd w:id="1410"/>
      <w:bookmarkEnd w:id="1411"/>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412" w:name="Item1LegalProceedings_136582"/>
      <w:bookmarkEnd w:id="1412"/>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be party to various claims and legal proceedings from time to time. We are not subject to any pending material legal proceedings, nor, to our knowledge, is any material legal proceeding threatened against us or any of our officers or directors in their capacity as such.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13" w:name="Item1ARiskFactors_232141"/>
      <w:bookmarkStart w:id="1414" w:name="_05db9473_8eb2_4f0b_a9f9_7f64c77741b8"/>
      <w:bookmarkEnd w:id="1413"/>
      <w:bookmarkEnd w:id="1414"/>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the information previously disclosed in “Item 1A. Risk Factors” in our Annual Report on Form 10-K for the year ended December 31, 2025.</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15" w:name="Item2UnregisteredSalesofEquitySecurities"/>
      <w:bookmarkStart w:id="1416" w:name="_d7accd6f_b65d_434f_aebe_783d3a0719bd"/>
      <w:bookmarkEnd w:id="1415"/>
      <w:bookmarkEnd w:id="1416"/>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17" w:name="Item3DefaultsUponSeniorSecurities_274430"/>
      <w:bookmarkStart w:id="1418" w:name="_69002748_b058_4d6a_95ad_688ff776405b"/>
      <w:bookmarkEnd w:id="1417"/>
      <w:bookmarkEnd w:id="1418"/>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19" w:name="Item4MineSafetyDisclosures_234246"/>
      <w:bookmarkStart w:id="1420" w:name="_92c7864f_fc44_445c_86b0_c56e58fedff0"/>
      <w:bookmarkEnd w:id="1419"/>
      <w:bookmarkEnd w:id="1420"/>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21" w:name="_bc359bdb_b311_4613_b0cb_7f6668a49a78"/>
      <w:bookmarkStart w:id="1422" w:name="Item5OtherInformation_394466"/>
      <w:bookmarkEnd w:id="1421"/>
      <w:bookmarkEnd w:id="1422"/>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23" w:name="Item6Exhibits_564430"/>
      <w:bookmarkStart w:id="1424" w:name="_93f991c4_1b80_4a85_b773_15c7abd72f04"/>
      <w:bookmarkEnd w:id="1423"/>
      <w:bookmarkEnd w:id="1424"/>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838"/>
        <w:gridCol w:w="346"/>
        <w:gridCol w:w="9021"/>
      </w:tblGrid>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  ​ ​ ​</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Designations of the Series B Junior Convertible Preferred Stock (incorporated by reference to Exhibit 4.1 to Binah Capital Group, Inc.’s Form 8 - K, filed with the SEC on February 27, 2026).</w:t>
              </w:r>
            </w:hyperlink>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630xex10d1.htm">
              <w:r>
                <w:rPr>
                  <w:rStyle w:val="InternetLink"/>
                  <w:rFonts w:ascii="Times New Roman;Times;serif" w:hAnsi="Times New Roman;Times;serif"/>
                  <w:b w:val="false"/>
                  <w:i w:val="false"/>
                  <w:caps w:val="false"/>
                  <w:smallCaps w:val="false"/>
                  <w:sz w:val="20"/>
                </w:rPr>
                <w:t>Amendment No. 1 to the Binah Capital Group, Inc. 2024 Equity Incentive Plan</w:t>
              </w:r>
            </w:hyperlink>
            <w:r>
              <w:rPr>
                <w:rFonts w:ascii="Times New Roman;Times;serif" w:hAnsi="Times New Roman;Times;serif"/>
                <w:sz w:val="20"/>
              </w:rPr>
              <w:t xml:space="preserve"> </w:t>
            </w:r>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630xex31d1.htm">
              <w:r>
                <w:rPr>
                  <w:rStyle w:val="InternetLink"/>
                  <w:rFonts w:ascii="Times New Roman;Times;serif" w:hAnsi="Times New Roman;Times;serif"/>
                  <w:b w:val="false"/>
                  <w:i w:val="false"/>
                  <w:caps w:val="false"/>
                  <w:smallCaps w:val="false"/>
                  <w:sz w:val="20"/>
                </w:rPr>
                <w:t>Certification of Craig Gould, Chief Executive Officer, pursuant to Rule 13a-14(a) under the Securities Exchange Act of 1934, as amended.</w:t>
              </w:r>
            </w:hyperlink>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630xex31d2.htm">
              <w:r>
                <w:rPr>
                  <w:rStyle w:val="InternetLink"/>
                  <w:rFonts w:ascii="Times New Roman;Times;serif" w:hAnsi="Times New Roman;Times;serif"/>
                  <w:b w:val="false"/>
                  <w:i w:val="false"/>
                  <w:caps w:val="false"/>
                  <w:smallCaps w:val="false"/>
                  <w:sz w:val="20"/>
                </w:rPr>
                <w:t>Certification of David Shane, Chief Financial Officer, pursuant to Rule 13a-14(a) under the Securities Exchange Act of 1934, as amended.</w:t>
              </w:r>
            </w:hyperlink>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630xex32d1.htm">
              <w:r>
                <w:rPr>
                  <w:rStyle w:val="InternetLink"/>
                  <w:rFonts w:ascii="Times New Roman;Times;serif" w:hAnsi="Times New Roman;Times;serif"/>
                  <w:b w:val="false"/>
                  <w:i w:val="false"/>
                  <w:caps w:val="false"/>
                  <w:smallCaps w:val="false"/>
                  <w:sz w:val="20"/>
                </w:rPr>
                <w:t>Certification of Craig Gould, Chief Executive Officer, pursuant to Rule 13a-14(b) under the Securities Exchange Act of 1934, as amended, and 18 U.S.C. § 1350.</w:t>
              </w:r>
            </w:hyperlink>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60630xex32d2.htm">
              <w:r>
                <w:rPr>
                  <w:rStyle w:val="InternetLink"/>
                  <w:rFonts w:ascii="Times New Roman;Times;serif" w:hAnsi="Times New Roman;Times;serif"/>
                  <w:b w:val="false"/>
                  <w:i w:val="false"/>
                  <w:caps w:val="false"/>
                  <w:smallCaps w:val="false"/>
                  <w:sz w:val="20"/>
                </w:rPr>
                <w:t>Certification of David Shane, Chief Financial Officer, pursuant to Rule 13a-14(b) under the Securities Exchange Act of 1934, as amended, and 18 U.S.C. § 1350.</w:t>
              </w:r>
            </w:hyperlink>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Taxonomy Extension Calculation Linkbase Document </w:t>
            </w:r>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Labels Linkbase Document</w:t>
            </w:r>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r>
        <w:rPr>
          <w:rFonts w:ascii="Times New Roman;Times;serif" w:hAnsi="Times New Roman;Times;serif"/>
          <w:sz w:val="20"/>
        </w:rPr>
        <w:t>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25" w:name="SIGNATURES_945741"/>
      <w:bookmarkStart w:id="1426" w:name="_3dc38e81_7f42_407c_b819_7e214feb70d2"/>
      <w:bookmarkEnd w:id="1425"/>
      <w:bookmarkEnd w:id="1426"/>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center"/>
        <w:rPr/>
      </w:pPr>
      <w:r>
        <w:rPr/>
        <w:t>​</w:t>
      </w:r>
    </w:p>
    <w:tbl>
      <w:tblPr>
        <w:tblW w:w="6348" w:type="dxa"/>
        <w:jc w:val="left"/>
        <w:tblInd w:w="0" w:type="dxa"/>
        <w:tblLayout w:type="fixed"/>
        <w:tblCellMar>
          <w:top w:w="0" w:type="dxa"/>
          <w:left w:w="0" w:type="dxa"/>
          <w:bottom w:w="0" w:type="dxa"/>
          <w:right w:w="0" w:type="dxa"/>
        </w:tblCellMar>
      </w:tblPr>
      <w:tblGrid>
        <w:gridCol w:w="1951"/>
        <w:gridCol w:w="631"/>
        <w:gridCol w:w="3766"/>
      </w:tblGrid>
      <w:tr>
        <w:trPr/>
        <w:tc>
          <w:tcPr>
            <w:tcW w:w="1951"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right"/>
        <w:rPr>
          <w:rFonts w:ascii="Times New Roman;Times;serif" w:hAnsi="Times New Roman;Times;serif"/>
          <w:b/>
          <w:sz w:val="20"/>
        </w:rPr>
      </w:pPr>
      <w:bookmarkStart w:id="1427" w:name="tmb-20260630xex10d1.htm"/>
      <w:bookmarkStart w:id="1428" w:name="kstmb20260630xex10d1"/>
      <w:bookmarkEnd w:id="1427"/>
      <w:bookmarkEnd w:id="1428"/>
      <w:r>
        <w:rPr>
          <w:rFonts w:ascii="Times New Roman;Times;serif" w:hAnsi="Times New Roman;Times;serif"/>
          <w:b/>
          <w:sz w:val="20"/>
        </w:rPr>
        <w:t>Exhibit 10.1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AMENDMENT NO. 1 TO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BINAH CAPITAL GROUP, INC. 2024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AMENDMENT NO. 1 (the “Amendment”) to the Binah Capital Group, Inc. 2024 Equity Incentive Plan (the “Plan”) is adopted as of June 12, 2026, subject to and effective upon the approval of the shareholders at the 2026 annual meeting.</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WITNESSETH: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Binah Capital Group, Inc. (the “Company”) maintains the Plan, and the Plan is currently in effect;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Section 17 of the Plan authorizes the Committee (as defined in the Plan) to amend the Plan for certain purposes, subject to shareholder approval as required under any applicable law, regulation or rule, including the rules of any stock exchange or quotation system upon which the Stock (as defined in the Plan) may then be listed or quoted;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Committee desires to amend the Plan to increase the aggregate number of shares authorized for issuance in connection with awards granted under the Plan by an additional 2,650,000 shares, to an aggregate of 4,729,671 shares of Stock (the “Base Reserve”) and to establish that the maximum aggregate number of shares of Stock that may be issued under the Plan pursuant to the exercise of Incentive Stock Options (as defined in the Plan) shall not exceed a number of shares equal to three times the Base Reserve.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the Plan is amended as follows, subject to and effective upon the approval of the shareholders at the 2026 annual meeting:</w:t>
      </w:r>
    </w:p>
    <w:p>
      <w:pPr>
        <w:pStyle w:val="TextBody"/>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4.1 of the Plan is amended by replacing the current provision therein in total with the following: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Maximum Number of Shares Issuable</w:t>
      </w:r>
      <w:r>
        <w:rPr>
          <w:rFonts w:ascii="Times New Roman;Times;serif" w:hAnsi="Times New Roman;Times;serif"/>
          <w:sz w:val="20"/>
        </w:rPr>
        <w:t>. Subject to adjustment as provided in Sections 4.2 and 4.3, the maximum aggregate number of shares of Stock that may be issued under the Plan shall be equal to 4,729,671 shares (the “</w:t>
      </w:r>
      <w:r>
        <w:rPr>
          <w:rFonts w:ascii="Times New Roman;Times;serif" w:hAnsi="Times New Roman;Times;serif"/>
          <w:b/>
          <w:i/>
          <w:sz w:val="20"/>
        </w:rPr>
        <w:t>Base Reserve</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4.3 of the Plan is amended by replacing the first sentence thereof with the following: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any required action by the stockholders of the Company and the requirements of Section 409A and Section 424 of the Code to the extent applicable, in the event of any change in the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Award limits set forth in Section 5.3, and in the exercise or purchase price per share under any outstanding Award in order to prevent dilution or enlargement of Participants’ rights under the Plan.</w:t>
      </w:r>
    </w:p>
    <w:p>
      <w:pPr>
        <w:pStyle w:val="TextBody"/>
        <w:bidi w:val="0"/>
        <w:spacing w:before="0" w:after="240"/>
        <w:ind w:left="0" w:right="0" w:hanging="0"/>
        <w:jc w:val="center"/>
        <w:rPr>
          <w:rFonts w:ascii="Times New Roman;Times;serif" w:hAnsi="Times New Roman;Times;serif"/>
          <w:color w:val="231F20"/>
          <w:sz w:val="20"/>
        </w:rPr>
      </w:pPr>
      <w:r>
        <w:rPr>
          <w:rFonts w:ascii="Times New Roman;Times;serif" w:hAnsi="Times New Roman;Times;serif"/>
          <w:color w:val="231F20"/>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Amendment to the Plan shall be effective as of the date indicated above. The Plan, as modified by the terms of this Amendment, shall continue in full force and effect from and after the date of the adoption of this Amendment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29" w:name="tmb-20260630xex31d1.htm"/>
      <w:bookmarkStart w:id="1430" w:name="kstmb20260630xex31d1"/>
      <w:bookmarkEnd w:id="1429"/>
      <w:bookmarkEnd w:id="1430"/>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Gould, certify that:</w:t>
      </w:r>
    </w:p>
    <w:tbl>
      <w:tblPr>
        <w:tblW w:w="6790" w:type="dxa"/>
        <w:jc w:val="left"/>
        <w:tblInd w:w="0" w:type="dxa"/>
        <w:tblLayout w:type="fixed"/>
        <w:tblCellMar>
          <w:top w:w="0" w:type="dxa"/>
          <w:left w:w="0" w:type="dxa"/>
          <w:bottom w:w="0" w:type="dxa"/>
          <w:right w:w="0" w:type="dxa"/>
        </w:tblCellMar>
      </w:tblPr>
      <w:tblGrid>
        <w:gridCol w:w="170"/>
        <w:gridCol w:w="66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Binah Capital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pPr>
      <w:r>
        <w:rPr/>
        <w:t>​</w:t>
      </w:r>
    </w:p>
    <w:tbl>
      <w:tblPr>
        <w:tblW w:w="4833" w:type="dxa"/>
        <w:jc w:val="left"/>
        <w:tblInd w:w="0" w:type="dxa"/>
        <w:tblLayout w:type="fixed"/>
        <w:tblCellMar>
          <w:top w:w="0" w:type="dxa"/>
          <w:left w:w="0" w:type="dxa"/>
          <w:bottom w:w="0" w:type="dxa"/>
          <w:right w:w="0" w:type="dxa"/>
        </w:tblCellMar>
      </w:tblPr>
      <w:tblGrid>
        <w:gridCol w:w="1951"/>
        <w:gridCol w:w="406"/>
        <w:gridCol w:w="247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31" w:name="tmb-20260630xex31d2.htm"/>
      <w:bookmarkStart w:id="1432" w:name="kstmb20260630xex31d2"/>
      <w:bookmarkEnd w:id="1431"/>
      <w:bookmarkEnd w:id="1432"/>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David Shane, certify that:</w:t>
      </w:r>
    </w:p>
    <w:tbl>
      <w:tblPr>
        <w:tblW w:w="6790" w:type="dxa"/>
        <w:jc w:val="left"/>
        <w:tblInd w:w="0" w:type="dxa"/>
        <w:tblLayout w:type="fixed"/>
        <w:tblCellMar>
          <w:top w:w="0" w:type="dxa"/>
          <w:left w:w="0" w:type="dxa"/>
          <w:bottom w:w="0" w:type="dxa"/>
          <w:right w:w="0" w:type="dxa"/>
        </w:tblCellMar>
      </w:tblPr>
      <w:tblGrid>
        <w:gridCol w:w="170"/>
        <w:gridCol w:w="66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Binah Capital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pPr>
      <w:r>
        <w:rPr/>
        <w:t>​</w:t>
      </w:r>
    </w:p>
    <w:tbl>
      <w:tblPr>
        <w:tblW w:w="5058" w:type="dxa"/>
        <w:jc w:val="left"/>
        <w:tblInd w:w="0" w:type="dxa"/>
        <w:tblLayout w:type="fixed"/>
        <w:tblCellMar>
          <w:top w:w="0" w:type="dxa"/>
          <w:left w:w="0" w:type="dxa"/>
          <w:bottom w:w="0" w:type="dxa"/>
          <w:right w:w="0" w:type="dxa"/>
        </w:tblCellMar>
      </w:tblPr>
      <w:tblGrid>
        <w:gridCol w:w="1951"/>
        <w:gridCol w:w="406"/>
        <w:gridCol w:w="270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w:t>
              <w:b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33" w:name="tmb-20260630xex32d1.htm"/>
      <w:bookmarkStart w:id="1434" w:name="kstmb20260630xex32d1"/>
      <w:bookmarkEnd w:id="1433"/>
      <w:bookmarkEnd w:id="1434"/>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Binah Capital Group, Inc. (the “Company”) on Form 10-Q for the quarterly period ended June 30, 2026, as filed with the Securities and Exchange Commission on the date hereof (the “Report”), I, Craig Gould, Chief Executive Officer of the Company, certify, pursuant to 18 U.S.C. Section 1350, as adopted pursuant to Section 906 of the Sarbanes-Oxley Act of 2002, that, to my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231" w:type="dxa"/>
        <w:jc w:val="left"/>
        <w:tblInd w:w="0" w:type="dxa"/>
        <w:tblLayout w:type="fixed"/>
        <w:tblCellMar>
          <w:top w:w="0" w:type="dxa"/>
          <w:left w:w="0" w:type="dxa"/>
          <w:bottom w:w="0" w:type="dxa"/>
          <w:right w:w="0" w:type="dxa"/>
        </w:tblCellMar>
      </w:tblPr>
      <w:tblGrid>
        <w:gridCol w:w="646"/>
        <w:gridCol w:w="2431"/>
        <w:gridCol w:w="154"/>
      </w:tblGrid>
      <w:tr>
        <w:trPr/>
        <w:tc>
          <w:tcPr>
            <w:tcW w:w="64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7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154" w:type="dxa"/>
            <w:tcBorders/>
            <w:vAlign w:val="center"/>
          </w:tcPr>
          <w:p>
            <w:pPr>
              <w:pStyle w:val="TableContents"/>
              <w:bidi w:val="0"/>
              <w:spacing w:before="0" w:after="0"/>
              <w:ind w:left="0" w:right="0" w:hanging="0"/>
              <w:jc w:val="left"/>
              <w:rPr/>
            </w:pPr>
            <w:r>
              <w:rPr/>
              <w:t>​</w:t>
            </w:r>
          </w:p>
        </w:tc>
      </w:tr>
      <w:tr>
        <w:trPr/>
        <w:tc>
          <w:tcPr>
            <w:tcW w:w="30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35" w:name="tmb-20260630xex32d2.htm"/>
      <w:bookmarkStart w:id="1436" w:name="kstmb20260630xex32d2"/>
      <w:bookmarkEnd w:id="1435"/>
      <w:bookmarkEnd w:id="1436"/>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Binah Capital Group, Inc. (the “Company”) on Form 10-Q for the quarterly period ended June 30, 2026, as filed with the Securities and Exchange Commission on the date hereof (the “Report”), I, David Shane, Chief Financial Officer of the Company, certify, pursuant to 18 U.S.C. Section 1350, as adopted pursuant to Section 906 of the Sarbanes-Oxley Act of 2002, that, to my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901" w:type="dxa"/>
        <w:jc w:val="left"/>
        <w:tblInd w:w="0" w:type="dxa"/>
        <w:tblLayout w:type="fixed"/>
        <w:tblCellMar>
          <w:top w:w="0" w:type="dxa"/>
          <w:left w:w="0" w:type="dxa"/>
          <w:bottom w:w="0" w:type="dxa"/>
          <w:right w:w="0" w:type="dxa"/>
        </w:tblCellMar>
      </w:tblPr>
      <w:tblGrid>
        <w:gridCol w:w="646"/>
        <w:gridCol w:w="5101"/>
        <w:gridCol w:w="154"/>
      </w:tblGrid>
      <w:tr>
        <w:trPr/>
        <w:tc>
          <w:tcPr>
            <w:tcW w:w="57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154" w:type="dxa"/>
            <w:tcBorders/>
            <w:vAlign w:val="center"/>
          </w:tcPr>
          <w:p>
            <w:pPr>
              <w:pStyle w:val="TableContents"/>
              <w:bidi w:val="0"/>
              <w:spacing w:before="0" w:after="0"/>
              <w:ind w:left="0" w:right="0" w:hanging="0"/>
              <w:jc w:val="left"/>
              <w:rPr/>
            </w:pPr>
            <w:r>
              <w:rPr/>
              <w:t>​</w:t>
            </w:r>
          </w:p>
        </w:tc>
      </w:tr>
      <w:tr>
        <w:trPr/>
        <w:tc>
          <w:tcPr>
            <w:tcW w:w="574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74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3984/000110465926021627/tm267592d1_ex4-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21834</Words>
  <Characters>117687</Characters>
  <CharactersWithSpaces>141451</CharactersWithSpaces>
  <Paragraphs>5675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