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Binah Capital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001-41991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88-3276689</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80 State Street, Albany, NY 12207</w:t>
            </w:r>
          </w:p>
        </w:tc>
        <w:tc>
          <w:tcPr>
            <w:tcW w:w="290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3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0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3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404-7002</w:t>
            </w:r>
          </w:p>
        </w:tc>
        <w:tc>
          <w:tcPr>
            <w:tcW w:w="29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BCG</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BCGWW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15, 2026, Binah Capital Group, Inc. (“Binah”) issued a press release announcing financial results for its first quarter ended March 31, 2026. A copy of the press release is furnished herewith as Exhibit 99.1.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Binah, whether made before or after the date hereof,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(d) Exhibits.</w:t>
            </w:r>
          </w:p>
        </w:tc>
        <w:tc>
          <w:tcPr>
            <w:tcW w:w="248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80" w:type="dxa"/>
            <w:vAlign w:val="bottom"/>
          </w:tcPr>
          <w:p>
            <w:pPr>
              <w:spacing w:after="0"/>
              <w:rPr>
                <w:sz w:val="24"/>
                <w:szCs w:val="24"/>
                <w:color w:val="auto"/>
              </w:rPr>
            </w:pPr>
          </w:p>
        </w:tc>
        <w:tc>
          <w:tcPr>
            <w:tcW w:w="76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15, 2026</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Gould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23110" cy="1465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11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line="444" w:lineRule="auto"/>
        <w:rPr>
          <w:sz w:val="20"/>
          <w:szCs w:val="20"/>
          <w:color w:val="auto"/>
        </w:rPr>
      </w:pPr>
      <w:r>
        <w:rPr>
          <w:rFonts w:ascii="Times New Roman" w:cs="Times New Roman" w:eastAsia="Times New Roman" w:hAnsi="Times New Roman"/>
          <w:sz w:val="18"/>
          <w:szCs w:val="18"/>
          <w:b w:val="1"/>
          <w:bCs w:val="1"/>
          <w:color w:val="auto"/>
        </w:rPr>
        <w:t xml:space="preserve">BINAH CAPITAL GROUP REPORTS RESULTS FOR FIRST QUARTER OF 2026 </w:t>
      </w:r>
      <w:r>
        <w:rPr>
          <w:rFonts w:ascii="Times New Roman" w:cs="Times New Roman" w:eastAsia="Times New Roman" w:hAnsi="Times New Roman"/>
          <w:sz w:val="18"/>
          <w:szCs w:val="18"/>
          <w:b w:val="1"/>
          <w:bCs w:val="1"/>
          <w:i w:val="1"/>
          <w:iCs w:val="1"/>
          <w:color w:val="auto"/>
        </w:rPr>
        <w:t>- Assets Under Management (“AuM”) Increased 12.9% Year-over-Year to $29.0 Billion - - Increased Net Income to $1.9 Million from $1.0 million in the Prior Year - - Increased EBITDA</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to $3.3 Million from $2.2 Million in the Prior Year -</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Total Revenue of $48.7 million similar to $48.9 million in prior year period -</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 May 15, 2026 – </w:t>
      </w:r>
      <w:r>
        <w:rPr>
          <w:rFonts w:ascii="Times New Roman" w:cs="Times New Roman" w:eastAsia="Times New Roman" w:hAnsi="Times New Roman"/>
          <w:sz w:val="18"/>
          <w:szCs w:val="18"/>
          <w:color w:val="auto"/>
        </w:rPr>
        <w:t>Binah Capital Group, Inc. (“Binah”, “Binah Capital” or the “Company”) (NASDAQ: BCG; BCGWW), a leading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enterprise that owns and operates a network of industry-leading firms empowering independent financial advisors, today announced results for the quarter ended March 31, 2026.</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pleased with our strong operational results in the first quarter, despite a sometimes challenging market, as this reflects the continuing growth of our differentiated platform,” stated Craig Gould, Chief Executive Officer of Binah Capital Group. “Our continued momentum kept revenue steady, and importantly, drove higher GAAP profitability and EBITDA. We remain focused on additional opportunities to continue our growth this year, while we demonstrate the appeal and agility of our differentiated platform to more customers.”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 added, “To help accelerate growth in our World Equity Group subsidiary, we recently promoted Christopher Motta to President. Chris’ deep experience will enable WEG to build on its strong reputation to pursue new growth opportunities more effectively. Altogether, we believe that the successful implementation of our growth initiatives along with our steady performance will generate meaningful long-term shareholder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Key Highlights</w:t>
      </w:r>
    </w:p>
    <w:p>
      <w:pPr>
        <w:spacing w:after="0" w:line="229" w:lineRule="exact"/>
        <w:rPr>
          <w:sz w:val="20"/>
          <w:szCs w:val="20"/>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Total advisory and brokerage assets as of March 31, 2026, grew 12.9% year-over-year to $29.0 billion.</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Total revenue remained consistent at approximately $48.7 million.</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Gross profit was $10.2 million, an increase of 18.6% compared to $8.6 million in the prior-year period.</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Total operating expenses were $7.5 million, compared to $7.1 million in the prior-year period.</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GAAP net income rose to $1.9 million, an 84% increase compared to $1.0 million in the first quarter of 2025.</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GAAP diluted EPS was $0.09 compared to $0.04 in the prior year quarter, up 125%.</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EBITDA of $3.3 million grew 50% as compared to EBITDA of $2.2 million in the prior year quarter, driven by the increase in GAAP net income.</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Adjusted EBITDA of $3.7 million increased 68% compared to $2.2 million in the prior year quarter.</w:t>
      </w:r>
    </w:p>
    <w:p>
      <w:pPr>
        <w:spacing w:after="0" w:line="226" w:lineRule="exact"/>
        <w:rPr>
          <w:rFonts w:ascii="Wingdings" w:cs="Wingdings" w:eastAsia="Wingdings" w:hAnsi="Wingdings"/>
          <w:sz w:val="18"/>
          <w:szCs w:val="18"/>
          <w:b w:val="1"/>
          <w:bCs w:val="1"/>
          <w:color w:val="auto"/>
        </w:rPr>
      </w:pPr>
    </w:p>
    <w:p>
      <w:pPr>
        <w:jc w:val="both"/>
        <w:spacing w:after="0" w:line="231" w:lineRule="auto"/>
        <w:rPr>
          <w:rFonts w:ascii="Wingdings" w:cs="Wingdings" w:eastAsia="Wingdings" w:hAnsi="Wingdings"/>
          <w:sz w:val="18"/>
          <w:szCs w:val="18"/>
          <w:b w:val="1"/>
          <w:bCs w:val="1"/>
          <w:color w:val="auto"/>
        </w:rPr>
      </w:pP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Non-GAAP Financial Measures</w:t>
      </w:r>
      <w:r>
        <w:rPr>
          <w:rFonts w:ascii="Times New Roman" w:cs="Times New Roman" w:eastAsia="Times New Roman" w:hAnsi="Times New Roman"/>
          <w:sz w:val="18"/>
          <w:szCs w:val="18"/>
          <w:i w:val="1"/>
          <w:iCs w:val="1"/>
          <w:color w:val="auto"/>
        </w:rPr>
        <w:t>. EBITDA and Adjusted EBITDA are non-GAAP financial measures defined as net income (loss) adjusted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depreciation expense, amortization expense, interest expense, share-based compensation and income tax. See the section captioned “Non-GAAP Financial Measures” below for a detailed description and reconciliation of such Non-GAAP financial measures to their most directly comparable GAAP financial measures, as required by Regulation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Liquidity and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cash and cash equivalents of $10.5 million and outstanding long-term debt of $17.7 million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Binah Capital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Binah Capital Group (“Binah Capital”, “Binah” or the “Company,” is a financial services enterprise that owns and operates a network of industry-leading firms that empower independent financial advisors. As a national broker-dealer aggregator, Binah specializes in delivering value through its innovative hybrid-friendly model, making it an optimal platform for RIAs navigating today’s complex financial landscape. Binah’s portfolio companies are built to help advisors run, manage, and execute commission-based business seamlessly while providing best in class resources to support their advisory practice. We don’t just offer tools—we cultivate partnerships. Binah Capital Group stands alongside RIAs as a trusted ally, delivering the structure, flexibility, and cutting-edge solutions they need to succeed in an increasingly competitive marketplace.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please visit: www.binahcap.com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Binah Capital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T. Conway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Conway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mtconway@conwaycommsir.com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Binah Capital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Cutler or Lorene Yue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Haven Tower Group</w:t>
      </w:r>
    </w:p>
    <w:p>
      <w:pPr>
        <w:spacing w:after="0" w:line="9" w:lineRule="exact"/>
        <w:rPr>
          <w:sz w:val="20"/>
          <w:szCs w:val="20"/>
          <w:color w:val="auto"/>
        </w:rPr>
      </w:pPr>
    </w:p>
    <w:p>
      <w:pPr>
        <w:ind w:right="874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317-4864 or (424) 317-4854 </w:t>
      </w:r>
      <w:r>
        <w:rPr>
          <w:rFonts w:ascii="Times New Roman" w:cs="Times New Roman" w:eastAsia="Times New Roman" w:hAnsi="Times New Roman"/>
          <w:sz w:val="18"/>
          <w:szCs w:val="18"/>
          <w:u w:val="single" w:color="auto"/>
          <w:color w:val="auto"/>
        </w:rPr>
        <w:t>binah@haventower.com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is a non-GAAP financial measure defined as net income plus interest expense, provision for income taxes, and depreciation and amortization. Adjusted EBITDA is defined as EBITDA, a non-GAAP measure, plus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of our non-GAAP financial measures to their most directly comparable GAAP financial measures appears below in the footnotes to the table of our key operating, business and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that are intended to be subject to the "safe harbor" created by those sections and other applicable laws. These forward-looking statements rely on a number of assumptions concerning future events and are subject to a number of uncertainties and factors that could cause actual results to differ materially from such statements, many of which are outside the control of Binah. Forward-looking statements include, but are not limited to statements regarding: Binah’s financial and operational outlook; Binah’s operational and financial strategies, including planned growth initiatives and the benefits thereof, Binah’s ability to successfully effect those strategies, and the expected results therefrom. These forward-looking statements generally are identified by the words “believe,” “project,” “estimate,” “expect,” ‎”intend,” “anticipate,” “goals,” “prospects,” “will,” “would,” “will continue,” “will likely result,” and similar expressions (including the negative versions of such words or expressions).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Binah believes that the assumptions concerning future events are reasonable, it cautions that there are inherent difficulties in predicting certain important factors that could impact the future performance or results of its business. The factors that could cause results to differ materially from those indicated by such forward-looking statements include, but are not limited to: our ability to comply with supervisory and regulatory compliance obligations, the risk we may be held liable for misconduct by our advisors; poor performance of our investment products and services; our ability to effectively maintain and enhance our brand and reputation; our ability to expand and retain our customer base; our future capital requirements and sources and uses of cash;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devaluation and significant political or civil disturbances in international markets; and the effectiveness of Binah’s control environment, including the identification of control deficiencies.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also affected by the risk factors, forward-looking statements and challenges and uncertainties set forth in documents filed by Binah with ‎the U.S. Securities and Exchange Commission from time to time, including the Annual ‎Report on Form 10-K and Quarterly Reports on</w:t>
      </w:r>
    </w:p>
    <w:p>
      <w:pPr>
        <w:jc w:val="both"/>
        <w:spacing w:after="0" w:line="252" w:lineRule="auto"/>
        <w:rPr>
          <w:sz w:val="20"/>
          <w:szCs w:val="20"/>
          <w:color w:val="auto"/>
        </w:rPr>
      </w:pPr>
      <w:r>
        <w:rPr>
          <w:rFonts w:ascii="Times New Roman" w:cs="Times New Roman" w:eastAsia="Times New Roman" w:hAnsi="Times New Roman"/>
          <w:sz w:val="18"/>
          <w:szCs w:val="18"/>
          <w:color w:val="auto"/>
        </w:rPr>
        <w:t>Form 10-Q and subsequent periodic‎ reports. These filings identify and address other important risks and uncertainties that could cause actual events and results to differ materially from those contained in the forward-looking statements. Binah cautions you not to place undue reliance on the ‎forward-looking statements contained in this press release. Forward-looking statements speak only as of the date they are made. Readers are cautioned not to put undue reliance on forward-looking statements, and Binah assumes no obligation and, except as required by law, does not intend to update or revise these forward-looking statements, whether as a result of new information, future events, or otherwise. Binah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Binah Capital Group Consolidated Balance Sheet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8"/>
              </w:rPr>
              <w:t>BINAH CAPITAL GROUP,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140" w:type="dxa"/>
            <w:vAlign w:val="bottom"/>
            <w:gridSpan w:val="5"/>
          </w:tcPr>
          <w:p>
            <w:pPr>
              <w:jc w:val="center"/>
              <w:ind w:left="1050"/>
              <w:spacing w:after="0"/>
              <w:rPr>
                <w:sz w:val="20"/>
                <w:szCs w:val="20"/>
                <w:color w:val="auto"/>
              </w:rPr>
            </w:pPr>
            <w:r>
              <w:rPr>
                <w:rFonts w:ascii="Times New Roman" w:cs="Times New Roman" w:eastAsia="Times New Roman" w:hAnsi="Times New Roman"/>
                <w:sz w:val="18"/>
                <w:szCs w:val="18"/>
                <w:color w:val="auto"/>
                <w:w w:val="98"/>
              </w:rPr>
              <w:t>CONSOLIDATED STATEMENTS OF FINANCIAL CONDITION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20" w:type="dxa"/>
            <w:vAlign w:val="bottom"/>
          </w:tcPr>
          <w:p>
            <w:pPr>
              <w:spacing w:after="0"/>
              <w:rPr>
                <w:sz w:val="20"/>
                <w:szCs w:val="20"/>
                <w:color w:val="auto"/>
              </w:rPr>
            </w:pPr>
          </w:p>
        </w:tc>
        <w:tc>
          <w:tcPr>
            <w:tcW w:w="14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9"/>
        </w:trPr>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10,526</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10,716</w:t>
            </w: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 receivable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10,441</w:t>
            </w:r>
          </w:p>
        </w:tc>
        <w:tc>
          <w:tcPr>
            <w:tcW w:w="0" w:type="dxa"/>
            <w:vAlign w:val="bottom"/>
          </w:tcPr>
          <w:p>
            <w:pPr>
              <w:spacing w:after="0"/>
              <w:rPr>
                <w:sz w:val="1"/>
                <w:szCs w:val="1"/>
                <w:color w:val="auto"/>
              </w:rPr>
            </w:pP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Due from clearing broker</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39,839</w:t>
            </w:r>
          </w:p>
        </w:tc>
        <w:tc>
          <w:tcPr>
            <w:tcW w:w="0" w:type="dxa"/>
            <w:vAlign w:val="bottom"/>
          </w:tcPr>
          <w:p>
            <w:pPr>
              <w:spacing w:after="0"/>
              <w:rPr>
                <w:sz w:val="1"/>
                <w:szCs w:val="1"/>
                <w:color w:val="auto"/>
              </w:rPr>
            </w:pPr>
          </w:p>
        </w:tc>
      </w:tr>
      <w:tr>
        <w:trPr>
          <w:trHeight w:val="229"/>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10"/>
        </w:trPr>
        <w:tc>
          <w:tcPr>
            <w:tcW w:w="19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71,250</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70,215</w:t>
            </w:r>
          </w:p>
        </w:tc>
        <w:tc>
          <w:tcPr>
            <w:tcW w:w="0" w:type="dxa"/>
            <w:vAlign w:val="bottom"/>
          </w:tcPr>
          <w:p>
            <w:pPr>
              <w:spacing w:after="0"/>
              <w:rPr>
                <w:sz w:val="1"/>
                <w:szCs w:val="1"/>
                <w:color w:val="auto"/>
              </w:rPr>
            </w:pPr>
          </w:p>
        </w:tc>
      </w:tr>
      <w:tr>
        <w:trPr>
          <w:trHeight w:val="197"/>
        </w:trPr>
        <w:tc>
          <w:tcPr>
            <w:tcW w:w="19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0" w:type="dxa"/>
            <w:vAlign w:val="bottom"/>
            <w:gridSpan w:val="5"/>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12,203</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13,103</w:t>
            </w: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Commissions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198"/>
        </w:trPr>
        <w:tc>
          <w:tcPr>
            <w:tcW w:w="80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Notes payable, net of unamortized debt issuance costs of $553 and $590 as of March 31, 2026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17,679</w:t>
            </w:r>
          </w:p>
        </w:tc>
        <w:tc>
          <w:tcPr>
            <w:tcW w:w="0" w:type="dxa"/>
            <w:vAlign w:val="bottom"/>
          </w:tcPr>
          <w:p>
            <w:pPr>
              <w:spacing w:after="0"/>
              <w:rPr>
                <w:sz w:val="1"/>
                <w:szCs w:val="1"/>
                <w:color w:val="auto"/>
              </w:rPr>
            </w:pPr>
          </w:p>
        </w:tc>
      </w:tr>
      <w:tr>
        <w:trPr>
          <w:trHeight w:val="230"/>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notes-affiliates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51,948</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Redeemable Series A Convertible Preferred Stock, par value $0.0001, 2,000,000 shares authorized,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1,644,000 and 1,626,000 shares outstanding at March 31, 2026 and December 31, 2025, respectively</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15,668</w:t>
            </w: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par value $0.0001, 500,000 shares authorized, 150,000 shares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98"/>
        </w:trPr>
        <w:tc>
          <w:tcPr>
            <w:tcW w:w="800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55,000,000 authorized, 16,810,131 and 16,716,000 issued and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23,709</w:t>
            </w: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(22,496)</w:t>
            </w:r>
          </w:p>
        </w:tc>
        <w:tc>
          <w:tcPr>
            <w:tcW w:w="0" w:type="dxa"/>
            <w:vAlign w:val="bottom"/>
          </w:tcPr>
          <w:p>
            <w:pPr>
              <w:spacing w:after="0"/>
              <w:rPr>
                <w:sz w:val="1"/>
                <w:szCs w:val="1"/>
                <w:color w:val="auto"/>
              </w:rPr>
            </w:pPr>
          </w:p>
        </w:tc>
      </w:tr>
      <w:tr>
        <w:trPr>
          <w:trHeight w:val="229"/>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and Mezzanine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71,250</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70,215</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Binah Capital Group Consolidated Statement of Operations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2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8"/>
              </w:rPr>
              <w:t>BINAH CAPITAL GROUP, INC.</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2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7"/>
              </w:rPr>
              <w:t>CONSOLIDATED STATEMENTS OF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120" w:type="dxa"/>
            <w:vAlign w:val="bottom"/>
          </w:tcPr>
          <w:p>
            <w:pPr>
              <w:jc w:val="center"/>
              <w:ind w:left="2990"/>
              <w:spacing w:after="0"/>
              <w:rPr>
                <w:sz w:val="20"/>
                <w:szCs w:val="20"/>
                <w:color w:val="auto"/>
              </w:rPr>
            </w:pPr>
            <w:r>
              <w:rPr>
                <w:rFonts w:ascii="Times New Roman" w:cs="Times New Roman" w:eastAsia="Times New Roman" w:hAnsi="Times New Roman"/>
                <w:sz w:val="18"/>
                <w:szCs w:val="18"/>
                <w:color w:val="auto"/>
                <w:w w:val="99"/>
              </w:rPr>
              <w:t>FOR THE PERIODS ENDED MARCH 31, 2026 AND 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12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Commissions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41,141</w:t>
            </w: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Advisory fees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6,916</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r>
      <w:tr>
        <w:trPr>
          <w:trHeight w:val="210"/>
        </w:trPr>
        <w:tc>
          <w:tcPr>
            <w:tcW w:w="8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48,936</w:t>
            </w:r>
          </w:p>
        </w:tc>
      </w:tr>
      <w:tr>
        <w:trPr>
          <w:trHeight w:val="209"/>
        </w:trPr>
        <w:tc>
          <w:tcPr>
            <w:tcW w:w="8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Commissions and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40,298</w:t>
            </w: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4,351</w:t>
            </w:r>
          </w:p>
        </w:tc>
      </w:tr>
      <w:tr>
        <w:trPr>
          <w:trHeight w:val="216"/>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Rent and occupancy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Technology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10"/>
        </w:trPr>
        <w:tc>
          <w:tcPr>
            <w:tcW w:w="8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47,479</w:t>
            </w:r>
          </w:p>
        </w:tc>
      </w:tr>
      <w:tr>
        <w:trPr>
          <w:trHeight w:val="209"/>
        </w:trPr>
        <w:tc>
          <w:tcPr>
            <w:tcW w:w="8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8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16,602</w:t>
            </w:r>
          </w:p>
        </w:tc>
      </w:tr>
      <w:tr>
        <w:trPr>
          <w:trHeight w:val="216"/>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16,602</w:t>
            </w:r>
          </w:p>
        </w:tc>
      </w:tr>
      <w:tr>
        <w:trPr>
          <w:trHeight w:val="657"/>
        </w:trPr>
        <w:tc>
          <w:tcPr>
            <w:tcW w:w="8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Binah Capital Group Reconciliation of GAAP Net Income to EBITDA and Adjusted EBITDA</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is a non-GAAP financial measure defined as net income plus interest expense, provision for income taxes, and depreciation and amortization. Adjusted EBITDA is defined as EBITDA, a non-GAAP measure, plus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our non-GAAP financial measures to their most directly comparable GAAP financial measures appears below in the footnotes to the table of our key operating, business and financial metrics.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Reconciliation</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4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2026-05-15T15:37:46Z</dcterms:created>
  <dcterms:modified xsi:type="dcterms:W3CDTF">2026-05-15T15:37:46Z</dcterms:modified>
</cp:coreProperties>
</file>