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308610</wp:posOffset>
            </wp:positionV>
            <wp:extent cx="630618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06185" cy="2984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63061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06185" cy="7620"/>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2364105</wp:posOffset>
            </wp:positionH>
            <wp:positionV relativeFrom="paragraph">
              <wp:posOffset>60325</wp:posOffset>
            </wp:positionV>
            <wp:extent cx="157861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8610" cy="7620"/>
                    </a:xfrm>
                    <a:prstGeom prst="rect">
                      <a:avLst/>
                    </a:prstGeom>
                    <a:noFill/>
                  </pic:spPr>
                </pic:pic>
              </a:graphicData>
            </a:graphic>
          </wp:anchor>
        </w:drawing>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2364105</wp:posOffset>
            </wp:positionH>
            <wp:positionV relativeFrom="paragraph">
              <wp:posOffset>72390</wp:posOffset>
            </wp:positionV>
            <wp:extent cx="157861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8610" cy="7620"/>
                    </a:xfrm>
                    <a:prstGeom prst="rect">
                      <a:avLst/>
                    </a:prstGeom>
                    <a:noFill/>
                  </pic:spPr>
                </pic:pic>
              </a:graphicData>
            </a:graphic>
          </wp:anchor>
        </w:drawing>
      </w:r>
    </w:p>
    <w:p>
      <w:pPr>
        <w:spacing w:after="0" w:line="212" w:lineRule="exact"/>
        <w:rPr>
          <w:sz w:val="24"/>
          <w:szCs w:val="24"/>
          <w:color w:val="auto"/>
        </w:rPr>
      </w:pPr>
    </w:p>
    <w:p>
      <w:pPr>
        <w:ind w:left="1"/>
        <w:spacing w:after="0"/>
        <w:rPr>
          <w:sz w:val="20"/>
          <w:szCs w:val="20"/>
          <w:color w:val="auto"/>
        </w:rPr>
      </w:pPr>
      <w:r>
        <w:rPr>
          <w:rFonts w:ascii="Times New Roman" w:cs="Times New Roman" w:eastAsia="Times New Roman" w:hAnsi="Times New Roman"/>
          <w:sz w:val="12"/>
          <w:szCs w:val="12"/>
          <w:b w:val="1"/>
          <w:bCs w:val="1"/>
          <w:color w:val="auto"/>
        </w:rPr>
        <w:t>(Mark One)</w:t>
      </w:r>
    </w:p>
    <w:p>
      <w:pPr>
        <w:spacing w:after="0" w:line="75" w:lineRule="exact"/>
        <w:rPr>
          <w:sz w:val="24"/>
          <w:szCs w:val="24"/>
          <w:color w:val="auto"/>
        </w:rPr>
      </w:pPr>
    </w:p>
    <w:p>
      <w:pPr>
        <w:ind w:left="321" w:hanging="321"/>
        <w:spacing w:after="0"/>
        <w:tabs>
          <w:tab w:leader="none" w:pos="32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 the quarterly period ended June 30, 2025</w:t>
      </w:r>
    </w:p>
    <w:p>
      <w:pPr>
        <w:spacing w:after="0" w:line="75" w:lineRule="exact"/>
        <w:rPr>
          <w:sz w:val="24"/>
          <w:szCs w:val="24"/>
          <w:color w:val="auto"/>
        </w:rPr>
      </w:pPr>
    </w:p>
    <w:p>
      <w:pPr>
        <w:ind w:left="321" w:hanging="321"/>
        <w:spacing w:after="0"/>
        <w:tabs>
          <w:tab w:leader="none" w:pos="321"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81" w:lineRule="exact"/>
        <w:rPr>
          <w:sz w:val="24"/>
          <w:szCs w:val="24"/>
          <w:color w:val="auto"/>
        </w:rPr>
      </w:pPr>
    </w:p>
    <w:p>
      <w:pPr>
        <w:jc w:val="right"/>
        <w:ind w:right="4100"/>
        <w:spacing w:after="0"/>
        <w:rPr>
          <w:sz w:val="20"/>
          <w:szCs w:val="20"/>
          <w:color w:val="auto"/>
        </w:rPr>
      </w:pPr>
      <w:r>
        <w:rPr>
          <w:rFonts w:ascii="Times New Roman" w:cs="Times New Roman" w:eastAsia="Times New Roman" w:hAnsi="Times New Roman"/>
          <w:sz w:val="12"/>
          <w:szCs w:val="12"/>
          <w:b w:val="1"/>
          <w:bCs w:val="1"/>
          <w:color w:val="auto"/>
        </w:rPr>
        <w:t>For the transition period from to</w:t>
      </w:r>
    </w:p>
    <w:p>
      <w:pPr>
        <w:spacing w:after="0" w:line="72" w:lineRule="exact"/>
        <w:rPr>
          <w:sz w:val="24"/>
          <w:szCs w:val="24"/>
          <w:color w:val="auto"/>
        </w:rPr>
      </w:pPr>
    </w:p>
    <w:p>
      <w:pPr>
        <w:jc w:val="right"/>
        <w:ind w:right="4120"/>
        <w:spacing w:after="0"/>
        <w:rPr>
          <w:sz w:val="20"/>
          <w:szCs w:val="20"/>
          <w:color w:val="auto"/>
        </w:rPr>
      </w:pPr>
      <w:r>
        <w:rPr>
          <w:rFonts w:ascii="Times New Roman" w:cs="Times New Roman" w:eastAsia="Times New Roman" w:hAnsi="Times New Roman"/>
          <w:sz w:val="12"/>
          <w:szCs w:val="12"/>
          <w:b w:val="1"/>
          <w:bCs w:val="1"/>
          <w:color w:val="auto"/>
        </w:rPr>
        <w:t>Commission File No. 001-40742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2364105</wp:posOffset>
            </wp:positionH>
            <wp:positionV relativeFrom="paragraph">
              <wp:posOffset>59690</wp:posOffset>
            </wp:positionV>
            <wp:extent cx="157861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8610" cy="7620"/>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3"/>
          <w:szCs w:val="33"/>
          <w:b w:val="1"/>
          <w:bCs w:val="1"/>
          <w:color w:val="auto"/>
        </w:rPr>
        <w:t>Binah Capital Group, Inc.</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2364105</wp:posOffset>
            </wp:positionH>
            <wp:positionV relativeFrom="paragraph">
              <wp:posOffset>59690</wp:posOffset>
            </wp:positionV>
            <wp:extent cx="1578610" cy="14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8610" cy="14605"/>
                    </a:xfrm>
                    <a:prstGeom prst="rect">
                      <a:avLst/>
                    </a:prstGeom>
                    <a:noFill/>
                  </pic:spPr>
                </pic:pic>
              </a:graphicData>
            </a:graphic>
          </wp:anchor>
        </w:drawing>
      </w:r>
    </w:p>
    <w:p>
      <w:pPr>
        <w:spacing w:after="0" w:line="211" w:lineRule="exact"/>
        <w:rPr>
          <w:sz w:val="24"/>
          <w:szCs w:val="24"/>
          <w:color w:val="auto"/>
        </w:rPr>
      </w:pPr>
    </w:p>
    <w:tbl>
      <w:tblPr>
        <w:tblLayout w:type="fixed"/>
        <w:tblInd w:w="1"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880" w:type="dxa"/>
            <w:vAlign w:val="bottom"/>
            <w:gridSpan w:val="2"/>
          </w:tcPr>
          <w:p>
            <w:pPr>
              <w:jc w:val="center"/>
              <w:ind w:left="974"/>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1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100" w:type="dxa"/>
            <w:vAlign w:val="bottom"/>
            <w:gridSpan w:val="2"/>
          </w:tcPr>
          <w:p>
            <w:pPr>
              <w:jc w:val="center"/>
              <w:ind w:right="1770"/>
              <w:spacing w:after="0"/>
              <w:rPr>
                <w:sz w:val="20"/>
                <w:szCs w:val="20"/>
                <w:color w:val="auto"/>
              </w:rPr>
            </w:pPr>
            <w:r>
              <w:rPr>
                <w:rFonts w:ascii="Times New Roman" w:cs="Times New Roman" w:eastAsia="Times New Roman" w:hAnsi="Times New Roman"/>
                <w:sz w:val="14"/>
                <w:szCs w:val="14"/>
                <w:b w:val="1"/>
                <w:bCs w:val="1"/>
                <w:color w:val="auto"/>
                <w:w w:val="97"/>
              </w:rPr>
              <w:t>88-3276689</w:t>
            </w:r>
          </w:p>
        </w:tc>
      </w:tr>
      <w:tr>
        <w:trPr>
          <w:trHeight w:val="175"/>
        </w:trPr>
        <w:tc>
          <w:tcPr>
            <w:tcW w:w="20" w:type="dxa"/>
            <w:vAlign w:val="bottom"/>
          </w:tcPr>
          <w:p>
            <w:pPr>
              <w:spacing w:after="0"/>
              <w:rPr>
                <w:sz w:val="15"/>
                <w:szCs w:val="15"/>
                <w:color w:val="auto"/>
              </w:rPr>
            </w:pPr>
          </w:p>
        </w:tc>
        <w:tc>
          <w:tcPr>
            <w:tcW w:w="3880" w:type="dxa"/>
            <w:vAlign w:val="bottom"/>
            <w:gridSpan w:val="2"/>
          </w:tcPr>
          <w:p>
            <w:pPr>
              <w:jc w:val="center"/>
              <w:ind w:left="97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100" w:type="dxa"/>
            <w:vAlign w:val="bottom"/>
            <w:gridSpan w:val="2"/>
          </w:tcPr>
          <w:p>
            <w:pPr>
              <w:jc w:val="center"/>
              <w:ind w:right="1770"/>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5"/>
        </w:trPr>
        <w:tc>
          <w:tcPr>
            <w:tcW w:w="20" w:type="dxa"/>
            <w:vAlign w:val="bottom"/>
          </w:tcPr>
          <w:p>
            <w:pPr>
              <w:spacing w:after="0"/>
              <w:rPr>
                <w:sz w:val="16"/>
                <w:szCs w:val="16"/>
                <w:color w:val="auto"/>
              </w:rPr>
            </w:pPr>
          </w:p>
        </w:tc>
        <w:tc>
          <w:tcPr>
            <w:tcW w:w="3880" w:type="dxa"/>
            <w:vAlign w:val="bottom"/>
            <w:gridSpan w:val="2"/>
          </w:tcPr>
          <w:p>
            <w:pPr>
              <w:jc w:val="center"/>
              <w:ind w:left="994"/>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1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100" w:type="dxa"/>
            <w:vAlign w:val="bottom"/>
            <w:gridSpan w:val="2"/>
          </w:tcPr>
          <w:p>
            <w:pPr>
              <w:jc w:val="center"/>
              <w:ind w:right="177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181"/>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60" w:type="dxa"/>
            <w:vAlign w:val="bottom"/>
            <w:gridSpan w:val="2"/>
          </w:tcPr>
          <w:p>
            <w:pPr>
              <w:jc w:val="center"/>
              <w:ind w:right="960"/>
              <w:spacing w:after="0"/>
              <w:rPr>
                <w:sz w:val="20"/>
                <w:szCs w:val="20"/>
                <w:color w:val="auto"/>
              </w:rPr>
            </w:pPr>
            <w:r>
              <w:rPr>
                <w:rFonts w:ascii="Times New Roman" w:cs="Times New Roman" w:eastAsia="Times New Roman" w:hAnsi="Times New Roman"/>
                <w:sz w:val="12"/>
                <w:szCs w:val="12"/>
                <w:b w:val="1"/>
                <w:bCs w:val="1"/>
                <w:color w:val="auto"/>
              </w:rPr>
              <w:t>80 State Street</w:t>
            </w:r>
          </w:p>
        </w:tc>
        <w:tc>
          <w:tcPr>
            <w:tcW w:w="160" w:type="dxa"/>
            <w:vAlign w:val="bottom"/>
          </w:tcPr>
          <w:p>
            <w:pPr>
              <w:spacing w:after="0"/>
              <w:rPr>
                <w:sz w:val="15"/>
                <w:szCs w:val="15"/>
                <w:color w:val="auto"/>
              </w:rPr>
            </w:pPr>
          </w:p>
        </w:tc>
        <w:tc>
          <w:tcPr>
            <w:tcW w:w="2940" w:type="dxa"/>
            <w:vAlign w:val="bottom"/>
          </w:tcPr>
          <w:p>
            <w:pPr>
              <w:spacing w:after="0"/>
              <w:rPr>
                <w:sz w:val="15"/>
                <w:szCs w:val="15"/>
                <w:color w:val="auto"/>
              </w:rPr>
            </w:pPr>
          </w:p>
        </w:tc>
      </w:tr>
      <w:tr>
        <w:trPr>
          <w:trHeight w:val="137"/>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760" w:type="dxa"/>
            <w:vAlign w:val="bottom"/>
            <w:gridSpan w:val="2"/>
          </w:tcPr>
          <w:p>
            <w:pPr>
              <w:jc w:val="center"/>
              <w:ind w:right="960"/>
              <w:spacing w:after="0" w:line="137" w:lineRule="exact"/>
              <w:rPr>
                <w:sz w:val="20"/>
                <w:szCs w:val="20"/>
                <w:color w:val="auto"/>
              </w:rPr>
            </w:pPr>
            <w:r>
              <w:rPr>
                <w:rFonts w:ascii="Times New Roman" w:cs="Times New Roman" w:eastAsia="Times New Roman" w:hAnsi="Times New Roman"/>
                <w:sz w:val="12"/>
                <w:szCs w:val="12"/>
                <w:b w:val="1"/>
                <w:bCs w:val="1"/>
                <w:color w:val="auto"/>
              </w:rPr>
              <w:t>Albany, NY 12207</w:t>
            </w:r>
          </w:p>
        </w:tc>
        <w:tc>
          <w:tcPr>
            <w:tcW w:w="160" w:type="dxa"/>
            <w:vAlign w:val="bottom"/>
          </w:tcPr>
          <w:p>
            <w:pPr>
              <w:spacing w:after="0"/>
              <w:rPr>
                <w:sz w:val="11"/>
                <w:szCs w:val="11"/>
                <w:color w:val="auto"/>
              </w:rPr>
            </w:pPr>
          </w:p>
        </w:tc>
        <w:tc>
          <w:tcPr>
            <w:tcW w:w="2940" w:type="dxa"/>
            <w:vAlign w:val="bottom"/>
          </w:tcPr>
          <w:p>
            <w:pPr>
              <w:spacing w:after="0"/>
              <w:rPr>
                <w:sz w:val="11"/>
                <w:szCs w:val="11"/>
                <w:color w:val="auto"/>
              </w:rPr>
            </w:pPr>
          </w:p>
        </w:tc>
      </w:tr>
      <w:tr>
        <w:trPr>
          <w:trHeight w:val="123"/>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3100" w:type="dxa"/>
            <w:vAlign w:val="bottom"/>
            <w:gridSpan w:val="4"/>
          </w:tcPr>
          <w:p>
            <w:pPr>
              <w:jc w:val="center"/>
              <w:ind w:right="620"/>
              <w:spacing w:after="0"/>
              <w:rPr>
                <w:sz w:val="20"/>
                <w:szCs w:val="20"/>
                <w:color w:val="auto"/>
              </w:rPr>
            </w:pPr>
            <w:r>
              <w:rPr>
                <w:rFonts w:ascii="Times New Roman" w:cs="Times New Roman" w:eastAsia="Times New Roman" w:hAnsi="Times New Roman"/>
                <w:sz w:val="9"/>
                <w:szCs w:val="9"/>
                <w:b w:val="1"/>
                <w:bCs w:val="1"/>
                <w:color w:val="auto"/>
              </w:rPr>
              <w:t>(Address of Principal Executive Offices, including zip code)</w:t>
            </w:r>
          </w:p>
        </w:tc>
        <w:tc>
          <w:tcPr>
            <w:tcW w:w="160" w:type="dxa"/>
            <w:vAlign w:val="bottom"/>
          </w:tcPr>
          <w:p>
            <w:pPr>
              <w:spacing w:after="0"/>
              <w:rPr>
                <w:sz w:val="10"/>
                <w:szCs w:val="10"/>
                <w:color w:val="auto"/>
              </w:rPr>
            </w:pPr>
          </w:p>
        </w:tc>
        <w:tc>
          <w:tcPr>
            <w:tcW w:w="2940" w:type="dxa"/>
            <w:vAlign w:val="bottom"/>
          </w:tcPr>
          <w:p>
            <w:pPr>
              <w:spacing w:after="0"/>
              <w:rPr>
                <w:sz w:val="10"/>
                <w:szCs w:val="10"/>
                <w:color w:val="auto"/>
              </w:rPr>
            </w:pPr>
          </w:p>
        </w:tc>
      </w:tr>
      <w:tr>
        <w:trPr>
          <w:trHeight w:val="192"/>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20" w:type="dxa"/>
            <w:vAlign w:val="bottom"/>
            <w:gridSpan w:val="2"/>
          </w:tcPr>
          <w:p>
            <w:pPr>
              <w:jc w:val="center"/>
              <w:ind w:right="114"/>
              <w:spacing w:after="0"/>
              <w:rPr>
                <w:sz w:val="20"/>
                <w:szCs w:val="20"/>
                <w:color w:val="auto"/>
              </w:rPr>
            </w:pPr>
            <w:r>
              <w:rPr>
                <w:rFonts w:ascii="Times New Roman" w:cs="Times New Roman" w:eastAsia="Times New Roman" w:hAnsi="Times New Roman"/>
                <w:sz w:val="12"/>
                <w:szCs w:val="12"/>
                <w:b w:val="1"/>
                <w:bCs w:val="1"/>
                <w:color w:val="auto"/>
              </w:rPr>
              <w:t>(212) 404-7002</w:t>
            </w: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40" w:type="dxa"/>
            <w:vAlign w:val="bottom"/>
          </w:tcPr>
          <w:p>
            <w:pPr>
              <w:spacing w:after="0"/>
              <w:rPr>
                <w:sz w:val="16"/>
                <w:szCs w:val="16"/>
                <w:color w:val="auto"/>
              </w:rPr>
            </w:pPr>
          </w:p>
        </w:tc>
      </w:tr>
      <w:tr>
        <w:trPr>
          <w:trHeight w:val="123"/>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20" w:type="dxa"/>
            <w:vAlign w:val="bottom"/>
            <w:gridSpan w:val="3"/>
          </w:tcPr>
          <w:p>
            <w:pPr>
              <w:jc w:val="center"/>
              <w:ind w:right="780"/>
              <w:spacing w:after="0"/>
              <w:rPr>
                <w:sz w:val="20"/>
                <w:szCs w:val="20"/>
                <w:color w:val="auto"/>
              </w:rPr>
            </w:pPr>
            <w:r>
              <w:rPr>
                <w:rFonts w:ascii="Times New Roman" w:cs="Times New Roman" w:eastAsia="Times New Roman" w:hAnsi="Times New Roman"/>
                <w:sz w:val="9"/>
                <w:szCs w:val="9"/>
                <w:b w:val="1"/>
                <w:bCs w:val="1"/>
                <w:color w:val="auto"/>
              </w:rPr>
              <w:t>(Registrant’s telephone number, including area code)</w:t>
            </w:r>
          </w:p>
        </w:tc>
        <w:tc>
          <w:tcPr>
            <w:tcW w:w="160" w:type="dxa"/>
            <w:vAlign w:val="bottom"/>
          </w:tcPr>
          <w:p>
            <w:pPr>
              <w:spacing w:after="0"/>
              <w:rPr>
                <w:sz w:val="10"/>
                <w:szCs w:val="10"/>
                <w:color w:val="auto"/>
              </w:rPr>
            </w:pPr>
          </w:p>
        </w:tc>
        <w:tc>
          <w:tcPr>
            <w:tcW w:w="2940" w:type="dxa"/>
            <w:vAlign w:val="bottom"/>
          </w:tcPr>
          <w:p>
            <w:pPr>
              <w:spacing w:after="0"/>
              <w:rPr>
                <w:sz w:val="10"/>
                <w:szCs w:val="10"/>
                <w:color w:val="auto"/>
              </w:rPr>
            </w:pPr>
          </w:p>
        </w:tc>
      </w:tr>
      <w:tr>
        <w:trPr>
          <w:trHeight w:val="192"/>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60" w:type="dxa"/>
            <w:vAlign w:val="bottom"/>
            <w:gridSpan w:val="2"/>
          </w:tcPr>
          <w:p>
            <w:pPr>
              <w:jc w:val="center"/>
              <w:ind w:right="940"/>
              <w:spacing w:after="0"/>
              <w:rPr>
                <w:sz w:val="20"/>
                <w:szCs w:val="20"/>
                <w:color w:val="auto"/>
              </w:rPr>
            </w:pPr>
            <w:r>
              <w:rPr>
                <w:rFonts w:ascii="Times New Roman" w:cs="Times New Roman" w:eastAsia="Times New Roman" w:hAnsi="Times New Roman"/>
                <w:sz w:val="12"/>
                <w:szCs w:val="12"/>
                <w:b w:val="1"/>
                <w:bCs w:val="1"/>
                <w:color w:val="auto"/>
              </w:rPr>
              <w:t>N/A</w:t>
            </w:r>
          </w:p>
        </w:tc>
        <w:tc>
          <w:tcPr>
            <w:tcW w:w="160" w:type="dxa"/>
            <w:vAlign w:val="bottom"/>
          </w:tcPr>
          <w:p>
            <w:pPr>
              <w:spacing w:after="0"/>
              <w:rPr>
                <w:sz w:val="16"/>
                <w:szCs w:val="16"/>
                <w:color w:val="auto"/>
              </w:rPr>
            </w:pPr>
          </w:p>
        </w:tc>
        <w:tc>
          <w:tcPr>
            <w:tcW w:w="2940" w:type="dxa"/>
            <w:vAlign w:val="bottom"/>
          </w:tcPr>
          <w:p>
            <w:pPr>
              <w:spacing w:after="0"/>
              <w:rPr>
                <w:sz w:val="16"/>
                <w:szCs w:val="16"/>
                <w:color w:val="auto"/>
              </w:rPr>
            </w:pPr>
          </w:p>
        </w:tc>
      </w:tr>
      <w:tr>
        <w:trPr>
          <w:trHeight w:val="123"/>
        </w:trPr>
        <w:tc>
          <w:tcPr>
            <w:tcW w:w="20" w:type="dxa"/>
            <w:vAlign w:val="bottom"/>
          </w:tcPr>
          <w:p>
            <w:pPr>
              <w:spacing w:after="0"/>
              <w:rPr>
                <w:sz w:val="10"/>
                <w:szCs w:val="10"/>
                <w:color w:val="auto"/>
              </w:rPr>
            </w:pPr>
          </w:p>
        </w:tc>
        <w:tc>
          <w:tcPr>
            <w:tcW w:w="6800" w:type="dxa"/>
            <w:vAlign w:val="bottom"/>
            <w:gridSpan w:val="5"/>
          </w:tcPr>
          <w:p>
            <w:pPr>
              <w:jc w:val="center"/>
              <w:ind w:left="3014"/>
              <w:spacing w:after="0"/>
              <w:rPr>
                <w:sz w:val="20"/>
                <w:szCs w:val="20"/>
                <w:color w:val="auto"/>
              </w:rPr>
            </w:pPr>
            <w:r>
              <w:rPr>
                <w:rFonts w:ascii="Times New Roman" w:cs="Times New Roman" w:eastAsia="Times New Roman" w:hAnsi="Times New Roman"/>
                <w:sz w:val="9"/>
                <w:szCs w:val="9"/>
                <w:b w:val="1"/>
                <w:bCs w:val="1"/>
                <w:color w:val="auto"/>
              </w:rPr>
              <w:t>(Former name, former address and former fiscal year, if changed since last report)</w:t>
            </w:r>
          </w:p>
        </w:tc>
        <w:tc>
          <w:tcPr>
            <w:tcW w:w="160" w:type="dxa"/>
            <w:vAlign w:val="bottom"/>
          </w:tcPr>
          <w:p>
            <w:pPr>
              <w:spacing w:after="0"/>
              <w:rPr>
                <w:sz w:val="10"/>
                <w:szCs w:val="10"/>
                <w:color w:val="auto"/>
              </w:rPr>
            </w:pPr>
          </w:p>
        </w:tc>
        <w:tc>
          <w:tcPr>
            <w:tcW w:w="2940" w:type="dxa"/>
            <w:vAlign w:val="bottom"/>
          </w:tcPr>
          <w:p>
            <w:pPr>
              <w:spacing w:after="0"/>
              <w:rPr>
                <w:sz w:val="10"/>
                <w:szCs w:val="10"/>
                <w:color w:val="auto"/>
              </w:rPr>
            </w:pPr>
          </w:p>
        </w:tc>
      </w:tr>
      <w:tr>
        <w:trPr>
          <w:trHeight w:val="77"/>
        </w:trPr>
        <w:tc>
          <w:tcPr>
            <w:tcW w:w="20" w:type="dxa"/>
            <w:vAlign w:val="bottom"/>
          </w:tcPr>
          <w:p>
            <w:pPr>
              <w:spacing w:after="0"/>
              <w:rPr>
                <w:sz w:val="6"/>
                <w:szCs w:val="6"/>
                <w:color w:val="auto"/>
              </w:rPr>
            </w:pPr>
          </w:p>
        </w:tc>
        <w:tc>
          <w:tcPr>
            <w:tcW w:w="3700" w:type="dxa"/>
            <w:vAlign w:val="bottom"/>
          </w:tcPr>
          <w:p>
            <w:pPr>
              <w:spacing w:after="0"/>
              <w:rPr>
                <w:sz w:val="6"/>
                <w:szCs w:val="6"/>
                <w:color w:val="auto"/>
              </w:rPr>
            </w:pPr>
          </w:p>
        </w:tc>
        <w:tc>
          <w:tcPr>
            <w:tcW w:w="2500" w:type="dxa"/>
            <w:vAlign w:val="bottom"/>
            <w:tcBorders>
              <w:bottom w:val="single" w:sz="8" w:color="auto"/>
            </w:tcBorders>
            <w:gridSpan w:val="3"/>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940" w:type="dxa"/>
            <w:vAlign w:val="bottom"/>
          </w:tcPr>
          <w:p>
            <w:pPr>
              <w:spacing w:after="0"/>
              <w:rPr>
                <w:sz w:val="6"/>
                <w:szCs w:val="6"/>
                <w:color w:val="auto"/>
              </w:rPr>
            </w:pPr>
          </w:p>
        </w:tc>
      </w:tr>
      <w:tr>
        <w:trPr>
          <w:trHeight w:val="205"/>
        </w:trPr>
        <w:tc>
          <w:tcPr>
            <w:tcW w:w="20" w:type="dxa"/>
            <w:vAlign w:val="bottom"/>
          </w:tcPr>
          <w:p>
            <w:pPr>
              <w:spacing w:after="0"/>
              <w:rPr>
                <w:sz w:val="17"/>
                <w:szCs w:val="17"/>
                <w:color w:val="auto"/>
              </w:rPr>
            </w:pPr>
          </w:p>
        </w:tc>
        <w:tc>
          <w:tcPr>
            <w:tcW w:w="6800" w:type="dxa"/>
            <w:vAlign w:val="bottom"/>
            <w:gridSpan w:val="5"/>
          </w:tcPr>
          <w:p>
            <w:pPr>
              <w:jc w:val="center"/>
              <w:ind w:left="3014"/>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tc>
        <w:tc>
          <w:tcPr>
            <w:tcW w:w="160" w:type="dxa"/>
            <w:vAlign w:val="bottom"/>
          </w:tcPr>
          <w:p>
            <w:pPr>
              <w:spacing w:after="0"/>
              <w:rPr>
                <w:sz w:val="17"/>
                <w:szCs w:val="17"/>
                <w:color w:val="auto"/>
              </w:rPr>
            </w:pPr>
          </w:p>
        </w:tc>
        <w:tc>
          <w:tcPr>
            <w:tcW w:w="29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60" w:type="dxa"/>
            <w:vAlign w:val="bottom"/>
          </w:tcPr>
          <w:p>
            <w:pPr>
              <w:spacing w:after="0"/>
              <w:rPr>
                <w:sz w:val="18"/>
                <w:szCs w:val="18"/>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185"/>
        </w:trPr>
        <w:tc>
          <w:tcPr>
            <w:tcW w:w="20" w:type="dxa"/>
            <w:vAlign w:val="bottom"/>
          </w:tcPr>
          <w:p>
            <w:pPr>
              <w:spacing w:after="0"/>
              <w:rPr>
                <w:sz w:val="16"/>
                <w:szCs w:val="16"/>
                <w:color w:val="auto"/>
              </w:rPr>
            </w:pPr>
          </w:p>
        </w:tc>
        <w:tc>
          <w:tcPr>
            <w:tcW w:w="3880" w:type="dxa"/>
            <w:vAlign w:val="bottom"/>
            <w:tcBorders>
              <w:bottom w:val="single" w:sz="8" w:color="auto"/>
            </w:tcBorders>
            <w:gridSpan w:val="2"/>
          </w:tcPr>
          <w:p>
            <w:pPr>
              <w:ind w:left="14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0" w:type="dxa"/>
            <w:vAlign w:val="bottom"/>
          </w:tcPr>
          <w:p>
            <w:pPr>
              <w:spacing w:after="0"/>
              <w:rPr>
                <w:sz w:val="16"/>
                <w:szCs w:val="16"/>
                <w:color w:val="auto"/>
              </w:rPr>
            </w:pPr>
          </w:p>
        </w:tc>
        <w:tc>
          <w:tcPr>
            <w:tcW w:w="27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60" w:type="dxa"/>
            <w:vAlign w:val="bottom"/>
          </w:tcPr>
          <w:p>
            <w:pPr>
              <w:spacing w:after="0"/>
              <w:rPr>
                <w:sz w:val="16"/>
                <w:szCs w:val="16"/>
                <w:color w:val="auto"/>
              </w:rPr>
            </w:pPr>
          </w:p>
        </w:tc>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on which registered</w:t>
            </w:r>
          </w:p>
        </w:tc>
      </w:tr>
      <w:tr>
        <w:trPr>
          <w:trHeight w:val="157"/>
        </w:trPr>
        <w:tc>
          <w:tcPr>
            <w:tcW w:w="20" w:type="dxa"/>
            <w:vAlign w:val="bottom"/>
          </w:tcPr>
          <w:p>
            <w:pPr>
              <w:spacing w:after="0"/>
              <w:rPr>
                <w:sz w:val="13"/>
                <w:szCs w:val="13"/>
                <w:color w:val="auto"/>
              </w:rPr>
            </w:pPr>
          </w:p>
        </w:tc>
        <w:tc>
          <w:tcPr>
            <w:tcW w:w="388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Common Stock, par value $0.0001 per share</w:t>
            </w:r>
          </w:p>
        </w:tc>
        <w:tc>
          <w:tcPr>
            <w:tcW w:w="160" w:type="dxa"/>
            <w:vAlign w:val="bottom"/>
          </w:tcPr>
          <w:p>
            <w:pPr>
              <w:spacing w:after="0"/>
              <w:rPr>
                <w:sz w:val="13"/>
                <w:szCs w:val="13"/>
                <w:color w:val="auto"/>
              </w:rPr>
            </w:pPr>
          </w:p>
        </w:tc>
        <w:tc>
          <w:tcPr>
            <w:tcW w:w="276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BCG</w:t>
            </w:r>
          </w:p>
        </w:tc>
        <w:tc>
          <w:tcPr>
            <w:tcW w:w="160" w:type="dxa"/>
            <w:vAlign w:val="bottom"/>
          </w:tcPr>
          <w:p>
            <w:pPr>
              <w:spacing w:after="0"/>
              <w:rPr>
                <w:sz w:val="13"/>
                <w:szCs w:val="13"/>
                <w:color w:val="auto"/>
              </w:rPr>
            </w:pPr>
          </w:p>
        </w:tc>
        <w:tc>
          <w:tcPr>
            <w:tcW w:w="2940" w:type="dxa"/>
            <w:vAlign w:val="bottom"/>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The Nasdaq Stock Market LLC</w:t>
            </w:r>
          </w:p>
        </w:tc>
      </w:tr>
      <w:tr>
        <w:trPr>
          <w:trHeight w:val="175"/>
        </w:trPr>
        <w:tc>
          <w:tcPr>
            <w:tcW w:w="3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9"/>
              </w:rPr>
              <w:t>Warrants, each exercisable for one share of Common Stock at an</w:t>
            </w:r>
          </w:p>
        </w:tc>
        <w:tc>
          <w:tcPr>
            <w:tcW w:w="29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BCGWW</w:t>
            </w:r>
          </w:p>
        </w:tc>
        <w:tc>
          <w:tcPr>
            <w:tcW w:w="3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r>
        <w:trPr>
          <w:trHeight w:val="185"/>
        </w:trPr>
        <w:tc>
          <w:tcPr>
            <w:tcW w:w="3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exercise price of $11.50 per share</w:t>
            </w:r>
          </w:p>
        </w:tc>
        <w:tc>
          <w:tcPr>
            <w:tcW w:w="1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40" w:type="dxa"/>
            <w:vAlign w:val="bottom"/>
          </w:tcPr>
          <w:p>
            <w:pPr>
              <w:spacing w:after="0"/>
              <w:rPr>
                <w:sz w:val="16"/>
                <w:szCs w:val="16"/>
                <w:color w:val="auto"/>
              </w:rPr>
            </w:pPr>
          </w:p>
        </w:tc>
      </w:tr>
    </w:tbl>
    <w:p>
      <w:pPr>
        <w:spacing w:after="0" w:line="55" w:lineRule="exact"/>
        <w:rPr>
          <w:sz w:val="24"/>
          <w:szCs w:val="24"/>
          <w:color w:val="auto"/>
        </w:rPr>
      </w:pPr>
    </w:p>
    <w:p>
      <w:pPr>
        <w:jc w:val="both"/>
        <w:ind w:left="1" w:firstLine="280"/>
        <w:spacing w:after="0" w:line="161"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41" w:lineRule="exact"/>
        <w:rPr>
          <w:sz w:val="24"/>
          <w:szCs w:val="24"/>
          <w:color w:val="auto"/>
        </w:rPr>
      </w:pPr>
    </w:p>
    <w:p>
      <w:pPr>
        <w:jc w:val="both"/>
        <w:ind w:left="1" w:firstLine="280"/>
        <w:spacing w:after="0" w:line="161"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29" w:lineRule="exact"/>
        <w:rPr>
          <w:sz w:val="24"/>
          <w:szCs w:val="24"/>
          <w:color w:val="auto"/>
        </w:rPr>
      </w:pPr>
    </w:p>
    <w:p>
      <w:pPr>
        <w:jc w:val="both"/>
        <w:ind w:left="1" w:firstLine="280"/>
        <w:spacing w:after="0" w:line="266"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anon-accelerated filer, a smaller reporting company, or an emerging growth company. See the definitions of “large accelerated filer,” “accelerated filer,” “smaller reporting company,” and “emerging growth company” in Rule 12b-2 of the Exchange Act.</w:t>
      </w:r>
    </w:p>
    <w:p>
      <w:pPr>
        <w:spacing w:after="0" w:line="9" w:lineRule="exact"/>
        <w:rPr>
          <w:sz w:val="24"/>
          <w:szCs w:val="24"/>
          <w:color w:val="auto"/>
        </w:rPr>
      </w:pPr>
    </w:p>
    <w:tbl>
      <w:tblPr>
        <w:tblLayout w:type="fixed"/>
        <w:tblInd w:w="1" w:type="dxa"/>
        <w:tblCellMar>
          <w:top w:w="0" w:type="dxa"/>
          <w:left w:w="0" w:type="dxa"/>
          <w:bottom w:w="0" w:type="dxa"/>
          <w:right w:w="0" w:type="dxa"/>
        </w:tblCellMar>
      </w:tblPr>
      <w:tr>
        <w:trPr>
          <w:trHeight w:val="175"/>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3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398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Accelerated filer</w:t>
            </w:r>
          </w:p>
        </w:tc>
        <w:tc>
          <w:tcPr>
            <w:tcW w:w="1060" w:type="dxa"/>
            <w:vAlign w:val="bottom"/>
          </w:tcPr>
          <w:p>
            <w:pPr>
              <w:ind w:left="9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3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398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060" w:type="dxa"/>
            <w:vAlign w:val="bottom"/>
          </w:tcPr>
          <w:p>
            <w:pPr>
              <w:ind w:left="9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6"/>
        </w:trPr>
        <w:tc>
          <w:tcPr>
            <w:tcW w:w="20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98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Emerging growth company</w:t>
            </w:r>
          </w:p>
        </w:tc>
        <w:tc>
          <w:tcPr>
            <w:tcW w:w="1060" w:type="dxa"/>
            <w:vAlign w:val="bottom"/>
          </w:tcPr>
          <w:p>
            <w:pPr>
              <w:ind w:left="9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5" w:lineRule="exact"/>
        <w:rPr>
          <w:sz w:val="24"/>
          <w:szCs w:val="24"/>
          <w:color w:val="auto"/>
        </w:rPr>
      </w:pPr>
    </w:p>
    <w:p>
      <w:pPr>
        <w:ind w:left="1" w:firstLine="280"/>
        <w:spacing w:after="0" w:line="161"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6" w:lineRule="exact"/>
        <w:rPr>
          <w:sz w:val="24"/>
          <w:szCs w:val="24"/>
          <w:color w:val="auto"/>
        </w:rPr>
      </w:pPr>
    </w:p>
    <w:p>
      <w:pPr>
        <w:ind w:left="281"/>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10" w:lineRule="exact"/>
        <w:rPr>
          <w:sz w:val="24"/>
          <w:szCs w:val="24"/>
          <w:color w:val="auto"/>
        </w:rPr>
      </w:pPr>
    </w:p>
    <w:p>
      <w:pPr>
        <w:ind w:left="281"/>
        <w:spacing w:after="0"/>
        <w:rPr>
          <w:sz w:val="20"/>
          <w:szCs w:val="20"/>
          <w:color w:val="auto"/>
        </w:rPr>
      </w:pPr>
      <w:r>
        <w:rPr>
          <w:rFonts w:ascii="Times New Roman" w:cs="Times New Roman" w:eastAsia="Times New Roman" w:hAnsi="Times New Roman"/>
          <w:sz w:val="12"/>
          <w:szCs w:val="12"/>
          <w:color w:val="auto"/>
        </w:rPr>
        <w:t>On August 13, 2025, there were 16,602,460 shares of common stock, $0.0001 par value per share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710565</wp:posOffset>
            </wp:positionV>
            <wp:extent cx="6306185" cy="222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06185" cy="222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58420</wp:posOffset>
            </wp:positionV>
            <wp:extent cx="630618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0618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102870</wp:posOffset>
            </wp:positionV>
            <wp:extent cx="630618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06185" cy="29845"/>
                    </a:xfrm>
                    <a:prstGeom prst="rect">
                      <a:avLst/>
                    </a:prstGeom>
                    <a:noFill/>
                  </pic:spPr>
                </pic:pic>
              </a:graphicData>
            </a:graphic>
          </wp:anchor>
        </w:drawing>
      </w:r>
    </w:p>
    <w:p>
      <w:pPr>
        <w:sectPr>
          <w:pgSz w:w="11900" w:h="16838" w:orient="portrait"/>
          <w:cols w:equalWidth="0" w:num="1">
            <w:col w:w="9921"/>
          </w:cols>
          <w:pgMar w:left="979" w:top="590" w:right="9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160" w:type="dxa"/>
            <w:vAlign w:val="bottom"/>
            <w:gridSpan w:val="5"/>
          </w:tcPr>
          <w:p>
            <w:pPr>
              <w:spacing w:after="0"/>
              <w:rPr>
                <w:sz w:val="20"/>
                <w:szCs w:val="20"/>
                <w:color w:val="auto"/>
              </w:rPr>
            </w:pPr>
            <w:r>
              <w:rPr>
                <w:rFonts w:ascii="Times New Roman" w:cs="Times New Roman" w:eastAsia="Times New Roman" w:hAnsi="Times New Roman"/>
                <w:sz w:val="16"/>
                <w:szCs w:val="16"/>
                <w:color w:val="0000EE"/>
                <w:w w:val="99"/>
              </w:rPr>
              <w:t>Table of Contents</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668"/>
        </w:trPr>
        <w:tc>
          <w:tcPr>
            <w:tcW w:w="4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60" w:type="dxa"/>
            <w:vAlign w:val="bottom"/>
            <w:gridSpan w:val="9"/>
          </w:tcPr>
          <w:p>
            <w:pPr>
              <w:jc w:val="center"/>
              <w:ind w:right="2640"/>
              <w:spacing w:after="0"/>
              <w:rPr>
                <w:sz w:val="20"/>
                <w:szCs w:val="20"/>
                <w:color w:val="auto"/>
              </w:rPr>
            </w:pPr>
            <w:r>
              <w:rPr>
                <w:rFonts w:ascii="Times New Roman" w:cs="Times New Roman" w:eastAsia="Times New Roman" w:hAnsi="Times New Roman"/>
                <w:sz w:val="16"/>
                <w:szCs w:val="16"/>
                <w:b w:val="1"/>
                <w:bCs w:val="1"/>
                <w:color w:val="auto"/>
                <w:w w:val="95"/>
              </w:rPr>
              <w:t>BINAH CAPITAL GROUP, INC.</w:t>
            </w:r>
          </w:p>
        </w:tc>
        <w:tc>
          <w:tcPr>
            <w:tcW w:w="500" w:type="dxa"/>
            <w:vAlign w:val="bottom"/>
          </w:tcPr>
          <w:p>
            <w:pPr>
              <w:spacing w:after="0"/>
              <w:rPr>
                <w:sz w:val="24"/>
                <w:szCs w:val="24"/>
                <w:color w:val="auto"/>
              </w:rPr>
            </w:pPr>
          </w:p>
        </w:tc>
      </w:tr>
      <w:tr>
        <w:trPr>
          <w:trHeight w:val="373"/>
        </w:trPr>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60" w:type="dxa"/>
            <w:vAlign w:val="bottom"/>
            <w:gridSpan w:val="9"/>
          </w:tcPr>
          <w:p>
            <w:pPr>
              <w:jc w:val="center"/>
              <w:ind w:right="2660"/>
              <w:spacing w:after="0"/>
              <w:rPr>
                <w:sz w:val="20"/>
                <w:szCs w:val="20"/>
                <w:color w:val="auto"/>
              </w:rPr>
            </w:pPr>
            <w:r>
              <w:rPr>
                <w:rFonts w:ascii="Times New Roman" w:cs="Times New Roman" w:eastAsia="Times New Roman" w:hAnsi="Times New Roman"/>
                <w:sz w:val="16"/>
                <w:szCs w:val="16"/>
                <w:b w:val="1"/>
                <w:bCs w:val="1"/>
                <w:color w:val="auto"/>
                <w:w w:val="97"/>
              </w:rPr>
              <w:t>Quarterly Report on Form 10-Q</w:t>
            </w:r>
          </w:p>
        </w:tc>
        <w:tc>
          <w:tcPr>
            <w:tcW w:w="500" w:type="dxa"/>
            <w:vAlign w:val="bottom"/>
          </w:tcPr>
          <w:p>
            <w:pPr>
              <w:spacing w:after="0"/>
              <w:rPr>
                <w:sz w:val="24"/>
                <w:szCs w:val="24"/>
                <w:color w:val="auto"/>
              </w:rPr>
            </w:pPr>
          </w:p>
        </w:tc>
      </w:tr>
      <w:tr>
        <w:trPr>
          <w:trHeight w:val="373"/>
        </w:trPr>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60" w:type="dxa"/>
            <w:vAlign w:val="bottom"/>
            <w:gridSpan w:val="9"/>
          </w:tcPr>
          <w:p>
            <w:pPr>
              <w:jc w:val="center"/>
              <w:ind w:right="2660"/>
              <w:spacing w:after="0"/>
              <w:rPr>
                <w:sz w:val="20"/>
                <w:szCs w:val="20"/>
                <w:color w:val="auto"/>
              </w:rPr>
            </w:pPr>
            <w:r>
              <w:rPr>
                <w:rFonts w:ascii="Times New Roman" w:cs="Times New Roman" w:eastAsia="Times New Roman" w:hAnsi="Times New Roman"/>
                <w:sz w:val="16"/>
                <w:szCs w:val="16"/>
                <w:b w:val="1"/>
                <w:bCs w:val="1"/>
                <w:color w:val="auto"/>
                <w:w w:val="95"/>
              </w:rPr>
              <w:t>Table of Contents</w:t>
            </w:r>
          </w:p>
        </w:tc>
        <w:tc>
          <w:tcPr>
            <w:tcW w:w="500" w:type="dxa"/>
            <w:vAlign w:val="bottom"/>
          </w:tcPr>
          <w:p>
            <w:pPr>
              <w:spacing w:after="0"/>
              <w:rPr>
                <w:sz w:val="24"/>
                <w:szCs w:val="24"/>
                <w:color w:val="auto"/>
              </w:rPr>
            </w:pPr>
          </w:p>
        </w:tc>
      </w:tr>
      <w:tr>
        <w:trPr>
          <w:trHeight w:val="339"/>
        </w:trPr>
        <w:tc>
          <w:tcPr>
            <w:tcW w:w="9420" w:type="dxa"/>
            <w:vAlign w:val="bottom"/>
            <w:gridSpan w:val="25"/>
          </w:tcPr>
          <w:p>
            <w:pPr>
              <w:spacing w:after="0"/>
              <w:rPr>
                <w:sz w:val="20"/>
                <w:szCs w:val="20"/>
                <w:color w:val="auto"/>
              </w:rPr>
            </w:pPr>
            <w:r>
              <w:rPr>
                <w:rFonts w:ascii="Times New Roman" w:cs="Times New Roman" w:eastAsia="Times New Roman" w:hAnsi="Times New Roman"/>
                <w:sz w:val="16"/>
                <w:szCs w:val="16"/>
                <w:color w:val="0000EE"/>
              </w:rPr>
              <w:t>PART I. FINANCIAL INFORMATION</w:t>
            </w:r>
          </w:p>
        </w:tc>
        <w:tc>
          <w:tcPr>
            <w:tcW w:w="500" w:type="dxa"/>
            <w:vAlign w:val="bottom"/>
          </w:tcPr>
          <w:p>
            <w:pPr>
              <w:spacing w:after="0"/>
              <w:rPr>
                <w:sz w:val="24"/>
                <w:szCs w:val="24"/>
                <w:color w:val="auto"/>
              </w:rPr>
            </w:pPr>
          </w:p>
        </w:tc>
      </w:tr>
      <w:tr>
        <w:trPr>
          <w:trHeight w:val="167"/>
        </w:trPr>
        <w:tc>
          <w:tcPr>
            <w:tcW w:w="440" w:type="dxa"/>
            <w:vAlign w:val="bottom"/>
            <w:tcBorders>
              <w:top w:val="single" w:sz="8" w:color="0000EE"/>
            </w:tcBorders>
          </w:tcPr>
          <w:p>
            <w:pPr>
              <w:spacing w:after="0" w:line="167" w:lineRule="exact"/>
              <w:rPr>
                <w:sz w:val="20"/>
                <w:szCs w:val="20"/>
                <w:color w:val="auto"/>
              </w:rPr>
            </w:pPr>
            <w:r>
              <w:rPr>
                <w:rFonts w:ascii="Times New Roman" w:cs="Times New Roman" w:eastAsia="Times New Roman" w:hAnsi="Times New Roman"/>
                <w:sz w:val="16"/>
                <w:szCs w:val="16"/>
                <w:color w:val="0000EE"/>
                <w:w w:val="92"/>
              </w:rPr>
              <w:t>Item 1.</w:t>
            </w:r>
          </w:p>
        </w:tc>
        <w:tc>
          <w:tcPr>
            <w:tcW w:w="720" w:type="dxa"/>
            <w:vAlign w:val="bottom"/>
            <w:tcBorders>
              <w:top w:val="single" w:sz="8" w:color="0000EE"/>
            </w:tcBorders>
            <w:gridSpan w:val="4"/>
          </w:tcPr>
          <w:p>
            <w:pPr>
              <w:spacing w:after="0"/>
              <w:rPr>
                <w:sz w:val="14"/>
                <w:szCs w:val="14"/>
                <w:color w:val="auto"/>
              </w:rPr>
            </w:pPr>
          </w:p>
        </w:tc>
        <w:tc>
          <w:tcPr>
            <w:tcW w:w="1320" w:type="dxa"/>
            <w:vAlign w:val="bottom"/>
            <w:tcBorders>
              <w:top w:val="single" w:sz="8" w:color="0000EE"/>
            </w:tcBorders>
            <w:gridSpan w:val="9"/>
          </w:tcPr>
          <w:p>
            <w:pPr>
              <w:spacing w:after="0" w:line="167" w:lineRule="exact"/>
              <w:rPr>
                <w:sz w:val="20"/>
                <w:szCs w:val="20"/>
                <w:color w:val="auto"/>
              </w:rPr>
            </w:pPr>
            <w:r>
              <w:rPr>
                <w:rFonts w:ascii="Times New Roman" w:cs="Times New Roman" w:eastAsia="Times New Roman" w:hAnsi="Times New Roman"/>
                <w:sz w:val="16"/>
                <w:szCs w:val="16"/>
                <w:color w:val="0000EE"/>
                <w:w w:val="97"/>
              </w:rPr>
              <w:t>Financial Statements</w:t>
            </w:r>
          </w:p>
        </w:tc>
        <w:tc>
          <w:tcPr>
            <w:tcW w:w="6940" w:type="dxa"/>
            <w:vAlign w:val="bottom"/>
            <w:gridSpan w:val="11"/>
          </w:tcPr>
          <w:p>
            <w:pPr>
              <w:spacing w:after="0"/>
              <w:rPr>
                <w:sz w:val="14"/>
                <w:szCs w:val="14"/>
                <w:color w:val="auto"/>
              </w:rPr>
            </w:pPr>
          </w:p>
        </w:tc>
        <w:tc>
          <w:tcPr>
            <w:tcW w:w="50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1</w:t>
            </w:r>
          </w:p>
        </w:tc>
      </w:tr>
      <w:tr>
        <w:trPr>
          <w:trHeight w:val="20"/>
        </w:trPr>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7"/>
        </w:trPr>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80" w:type="dxa"/>
            <w:vAlign w:val="bottom"/>
            <w:tcBorders>
              <w:bottom w:val="single" w:sz="8" w:color="0000EE"/>
            </w:tcBorders>
            <w:gridSpan w:val="16"/>
          </w:tcPr>
          <w:p>
            <w:pPr>
              <w:spacing w:after="0" w:line="167" w:lineRule="exact"/>
              <w:rPr>
                <w:sz w:val="20"/>
                <w:szCs w:val="20"/>
                <w:color w:val="auto"/>
              </w:rPr>
            </w:pPr>
            <w:r>
              <w:rPr>
                <w:rFonts w:ascii="Times New Roman" w:cs="Times New Roman" w:eastAsia="Times New Roman" w:hAnsi="Times New Roman"/>
                <w:sz w:val="16"/>
                <w:szCs w:val="16"/>
                <w:color w:val="0000EE"/>
                <w:w w:val="96"/>
              </w:rPr>
              <w:t>Condensed Consolidated Statements of Financial Condition as of June 30, 2025 (Unaudited) and December 31, 2024</w:t>
            </w:r>
          </w:p>
        </w:tc>
        <w:tc>
          <w:tcPr>
            <w:tcW w:w="980" w:type="dxa"/>
            <w:vAlign w:val="bottom"/>
            <w:gridSpan w:val="4"/>
          </w:tcPr>
          <w:p>
            <w:pPr>
              <w:spacing w:after="0"/>
              <w:rPr>
                <w:sz w:val="14"/>
                <w:szCs w:val="14"/>
                <w:color w:val="auto"/>
              </w:rPr>
            </w:pPr>
          </w:p>
        </w:tc>
        <w:tc>
          <w:tcPr>
            <w:tcW w:w="50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1</w:t>
            </w:r>
          </w:p>
        </w:tc>
      </w:tr>
      <w:tr>
        <w:trPr>
          <w:trHeight w:val="167"/>
        </w:trPr>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60" w:type="dxa"/>
            <w:vAlign w:val="bottom"/>
            <w:gridSpan w:val="20"/>
          </w:tcPr>
          <w:p>
            <w:pPr>
              <w:spacing w:after="0" w:line="167" w:lineRule="exact"/>
              <w:rPr>
                <w:sz w:val="20"/>
                <w:szCs w:val="20"/>
                <w:color w:val="auto"/>
              </w:rPr>
            </w:pPr>
            <w:r>
              <w:rPr>
                <w:rFonts w:ascii="Times New Roman" w:cs="Times New Roman" w:eastAsia="Times New Roman" w:hAnsi="Times New Roman"/>
                <w:sz w:val="16"/>
                <w:szCs w:val="16"/>
                <w:color w:val="0000EE"/>
              </w:rPr>
              <w:t>Condensed Consolidated Statements of Operations for the three month and six months ended June 30, 2025 and 2024</w:t>
            </w:r>
          </w:p>
        </w:tc>
        <w:tc>
          <w:tcPr>
            <w:tcW w:w="500" w:type="dxa"/>
            <w:vAlign w:val="bottom"/>
          </w:tcPr>
          <w:p>
            <w:pPr>
              <w:spacing w:after="0"/>
              <w:rPr>
                <w:sz w:val="14"/>
                <w:szCs w:val="14"/>
                <w:color w:val="auto"/>
              </w:rPr>
            </w:pPr>
          </w:p>
        </w:tc>
      </w:tr>
      <w:tr>
        <w:trPr>
          <w:trHeight w:val="167"/>
        </w:trPr>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300" w:type="dxa"/>
            <w:vAlign w:val="bottom"/>
            <w:tcBorders>
              <w:top w:val="single" w:sz="8" w:color="0000EE"/>
            </w:tcBorders>
            <w:gridSpan w:val="17"/>
          </w:tcPr>
          <w:p>
            <w:pPr>
              <w:spacing w:after="0" w:line="167" w:lineRule="exact"/>
              <w:rPr>
                <w:sz w:val="20"/>
                <w:szCs w:val="20"/>
                <w:color w:val="auto"/>
              </w:rPr>
            </w:pPr>
            <w:r>
              <w:rPr>
                <w:rFonts w:ascii="Times New Roman" w:cs="Times New Roman" w:eastAsia="Times New Roman" w:hAnsi="Times New Roman"/>
                <w:sz w:val="16"/>
                <w:szCs w:val="16"/>
                <w:color w:val="0000EE"/>
              </w:rPr>
              <w:t>(Unaudited)</w:t>
            </w:r>
          </w:p>
        </w:tc>
        <w:tc>
          <w:tcPr>
            <w:tcW w:w="960" w:type="dxa"/>
            <w:vAlign w:val="bottom"/>
            <w:gridSpan w:val="3"/>
          </w:tcPr>
          <w:p>
            <w:pPr>
              <w:spacing w:after="0"/>
              <w:rPr>
                <w:sz w:val="14"/>
                <w:szCs w:val="14"/>
                <w:color w:val="auto"/>
              </w:rPr>
            </w:pPr>
          </w:p>
        </w:tc>
        <w:tc>
          <w:tcPr>
            <w:tcW w:w="50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2</w:t>
            </w:r>
          </w:p>
        </w:tc>
      </w:tr>
      <w:tr>
        <w:trPr>
          <w:trHeight w:val="20"/>
        </w:trPr>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7"/>
        </w:trPr>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60" w:type="dxa"/>
            <w:vAlign w:val="bottom"/>
            <w:gridSpan w:val="20"/>
          </w:tcPr>
          <w:p>
            <w:pPr>
              <w:spacing w:after="0" w:line="167" w:lineRule="exact"/>
              <w:rPr>
                <w:sz w:val="20"/>
                <w:szCs w:val="20"/>
                <w:color w:val="auto"/>
              </w:rPr>
            </w:pPr>
            <w:r>
              <w:rPr>
                <w:rFonts w:ascii="Times New Roman" w:cs="Times New Roman" w:eastAsia="Times New Roman" w:hAnsi="Times New Roman"/>
                <w:sz w:val="16"/>
                <w:szCs w:val="16"/>
                <w:color w:val="0000EE"/>
              </w:rPr>
              <w:t>Condensed Consolidated Statements of Comprehensive Income for the three and six months ended June 30, 2025 and 2024</w:t>
            </w:r>
          </w:p>
        </w:tc>
        <w:tc>
          <w:tcPr>
            <w:tcW w:w="500" w:type="dxa"/>
            <w:vAlign w:val="bottom"/>
          </w:tcPr>
          <w:p>
            <w:pPr>
              <w:spacing w:after="0"/>
              <w:rPr>
                <w:sz w:val="14"/>
                <w:szCs w:val="14"/>
                <w:color w:val="auto"/>
              </w:rPr>
            </w:pPr>
          </w:p>
        </w:tc>
      </w:tr>
      <w:tr>
        <w:trPr>
          <w:trHeight w:val="167"/>
        </w:trPr>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60" w:type="dxa"/>
            <w:vAlign w:val="bottom"/>
            <w:tcBorders>
              <w:top w:val="single" w:sz="8" w:color="0000EE"/>
            </w:tcBorders>
            <w:gridSpan w:val="18"/>
          </w:tcPr>
          <w:p>
            <w:pPr>
              <w:spacing w:after="0" w:line="167" w:lineRule="exact"/>
              <w:rPr>
                <w:sz w:val="20"/>
                <w:szCs w:val="20"/>
                <w:color w:val="auto"/>
              </w:rPr>
            </w:pPr>
            <w:r>
              <w:rPr>
                <w:rFonts w:ascii="Times New Roman" w:cs="Times New Roman" w:eastAsia="Times New Roman" w:hAnsi="Times New Roman"/>
                <w:sz w:val="16"/>
                <w:szCs w:val="16"/>
                <w:color w:val="0000EE"/>
              </w:rPr>
              <w:t>(Unaudited)</w:t>
            </w:r>
          </w:p>
        </w:tc>
        <w:tc>
          <w:tcPr>
            <w:tcW w:w="600" w:type="dxa"/>
            <w:vAlign w:val="bottom"/>
            <w:gridSpan w:val="2"/>
          </w:tcPr>
          <w:p>
            <w:pPr>
              <w:spacing w:after="0"/>
              <w:rPr>
                <w:sz w:val="14"/>
                <w:szCs w:val="14"/>
                <w:color w:val="auto"/>
              </w:rPr>
            </w:pPr>
          </w:p>
        </w:tc>
        <w:tc>
          <w:tcPr>
            <w:tcW w:w="50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3</w:t>
            </w:r>
          </w:p>
        </w:tc>
      </w:tr>
      <w:tr>
        <w:trPr>
          <w:trHeight w:val="20"/>
        </w:trPr>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7"/>
        </w:trPr>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60" w:type="dxa"/>
            <w:vAlign w:val="bottom"/>
            <w:gridSpan w:val="20"/>
          </w:tcPr>
          <w:p>
            <w:pPr>
              <w:spacing w:after="0" w:line="167" w:lineRule="exact"/>
              <w:rPr>
                <w:sz w:val="20"/>
                <w:szCs w:val="20"/>
                <w:color w:val="auto"/>
              </w:rPr>
            </w:pPr>
            <w:r>
              <w:rPr>
                <w:rFonts w:ascii="Times New Roman" w:cs="Times New Roman" w:eastAsia="Times New Roman" w:hAnsi="Times New Roman"/>
                <w:sz w:val="16"/>
                <w:szCs w:val="16"/>
                <w:color w:val="0000EE"/>
              </w:rPr>
              <w:t>Condensed Consolidated Statements of Changes in Stockholders’ Equity for the three and six months ended June 30, 2025 and</w:t>
            </w:r>
          </w:p>
        </w:tc>
        <w:tc>
          <w:tcPr>
            <w:tcW w:w="500" w:type="dxa"/>
            <w:vAlign w:val="bottom"/>
          </w:tcPr>
          <w:p>
            <w:pPr>
              <w:spacing w:after="0"/>
              <w:rPr>
                <w:sz w:val="14"/>
                <w:szCs w:val="14"/>
                <w:color w:val="auto"/>
              </w:rPr>
            </w:pPr>
          </w:p>
        </w:tc>
      </w:tr>
      <w:tr>
        <w:trPr>
          <w:trHeight w:val="167"/>
        </w:trPr>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Borders>
              <w:top w:val="single" w:sz="8" w:color="0000EE"/>
              <w:bottom w:val="single" w:sz="8" w:color="0000EE"/>
            </w:tcBorders>
            <w:gridSpan w:val="6"/>
          </w:tcPr>
          <w:p>
            <w:pPr>
              <w:spacing w:after="0" w:line="167" w:lineRule="exact"/>
              <w:rPr>
                <w:sz w:val="20"/>
                <w:szCs w:val="20"/>
                <w:color w:val="auto"/>
              </w:rPr>
            </w:pPr>
            <w:r>
              <w:rPr>
                <w:rFonts w:ascii="Times New Roman" w:cs="Times New Roman" w:eastAsia="Times New Roman" w:hAnsi="Times New Roman"/>
                <w:sz w:val="16"/>
                <w:szCs w:val="16"/>
                <w:color w:val="0000EE"/>
                <w:w w:val="95"/>
              </w:rPr>
              <w:t>2024 (Unaudited)</w:t>
            </w:r>
          </w:p>
        </w:tc>
        <w:tc>
          <w:tcPr>
            <w:tcW w:w="6780" w:type="dxa"/>
            <w:vAlign w:val="bottom"/>
            <w:tcBorders>
              <w:top w:val="single" w:sz="8" w:color="0000EE"/>
            </w:tcBorders>
            <w:gridSpan w:val="13"/>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4</w:t>
            </w:r>
          </w:p>
        </w:tc>
      </w:tr>
      <w:tr>
        <w:trPr>
          <w:trHeight w:val="167"/>
        </w:trPr>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100" w:type="dxa"/>
            <w:vAlign w:val="bottom"/>
            <w:tcBorders>
              <w:bottom w:val="single" w:sz="8" w:color="0000EE"/>
            </w:tcBorders>
            <w:gridSpan w:val="15"/>
          </w:tcPr>
          <w:p>
            <w:pPr>
              <w:spacing w:after="0" w:line="167" w:lineRule="exact"/>
              <w:rPr>
                <w:sz w:val="20"/>
                <w:szCs w:val="20"/>
                <w:color w:val="auto"/>
              </w:rPr>
            </w:pPr>
            <w:r>
              <w:rPr>
                <w:rFonts w:ascii="Times New Roman" w:cs="Times New Roman" w:eastAsia="Times New Roman" w:hAnsi="Times New Roman"/>
                <w:sz w:val="16"/>
                <w:szCs w:val="16"/>
                <w:color w:val="0000EE"/>
                <w:w w:val="96"/>
              </w:rPr>
              <w:t>Condensed Consolidated Statements of Cash Flows for the six months ended June 30, 2025 and 2024 (Unaudited)</w:t>
            </w:r>
          </w:p>
        </w:tc>
        <w:tc>
          <w:tcPr>
            <w:tcW w:w="1160" w:type="dxa"/>
            <w:vAlign w:val="bottom"/>
            <w:gridSpan w:val="5"/>
          </w:tcPr>
          <w:p>
            <w:pPr>
              <w:spacing w:after="0"/>
              <w:rPr>
                <w:sz w:val="14"/>
                <w:szCs w:val="14"/>
                <w:color w:val="auto"/>
              </w:rPr>
            </w:pPr>
          </w:p>
        </w:tc>
        <w:tc>
          <w:tcPr>
            <w:tcW w:w="50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6</w:t>
            </w:r>
          </w:p>
        </w:tc>
      </w:tr>
      <w:tr>
        <w:trPr>
          <w:trHeight w:val="167"/>
        </w:trPr>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140" w:type="dxa"/>
            <w:vAlign w:val="bottom"/>
            <w:tcBorders>
              <w:bottom w:val="single" w:sz="8" w:color="0000EE"/>
            </w:tcBorders>
            <w:gridSpan w:val="13"/>
          </w:tcPr>
          <w:p>
            <w:pPr>
              <w:spacing w:after="0" w:line="167" w:lineRule="exact"/>
              <w:rPr>
                <w:sz w:val="20"/>
                <w:szCs w:val="20"/>
                <w:color w:val="auto"/>
              </w:rPr>
            </w:pPr>
            <w:r>
              <w:rPr>
                <w:rFonts w:ascii="Times New Roman" w:cs="Times New Roman" w:eastAsia="Times New Roman" w:hAnsi="Times New Roman"/>
                <w:sz w:val="16"/>
                <w:szCs w:val="16"/>
                <w:color w:val="0000EE"/>
                <w:w w:val="96"/>
              </w:rPr>
              <w:t>Notes to Unaudited Condensed Consolidated Financial Statements</w:t>
            </w:r>
          </w:p>
        </w:tc>
        <w:tc>
          <w:tcPr>
            <w:tcW w:w="4120" w:type="dxa"/>
            <w:vAlign w:val="bottom"/>
            <w:gridSpan w:val="7"/>
          </w:tcPr>
          <w:p>
            <w:pPr>
              <w:spacing w:after="0"/>
              <w:rPr>
                <w:sz w:val="14"/>
                <w:szCs w:val="14"/>
                <w:color w:val="auto"/>
              </w:rPr>
            </w:pPr>
          </w:p>
        </w:tc>
        <w:tc>
          <w:tcPr>
            <w:tcW w:w="50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7</w:t>
            </w:r>
          </w:p>
        </w:tc>
      </w:tr>
      <w:tr>
        <w:trPr>
          <w:trHeight w:val="167"/>
        </w:trPr>
        <w:tc>
          <w:tcPr>
            <w:tcW w:w="440" w:type="dxa"/>
            <w:vAlign w:val="bottom"/>
          </w:tcPr>
          <w:p>
            <w:pPr>
              <w:spacing w:after="0" w:line="167" w:lineRule="exact"/>
              <w:rPr>
                <w:sz w:val="20"/>
                <w:szCs w:val="20"/>
                <w:color w:val="auto"/>
              </w:rPr>
            </w:pPr>
            <w:r>
              <w:rPr>
                <w:rFonts w:ascii="Times New Roman" w:cs="Times New Roman" w:eastAsia="Times New Roman" w:hAnsi="Times New Roman"/>
                <w:sz w:val="16"/>
                <w:szCs w:val="16"/>
                <w:color w:val="0000EE"/>
                <w:w w:val="92"/>
              </w:rPr>
              <w:t>Item 2.</w:t>
            </w:r>
          </w:p>
        </w:tc>
        <w:tc>
          <w:tcPr>
            <w:tcW w:w="720" w:type="dxa"/>
            <w:vAlign w:val="bottom"/>
            <w:gridSpan w:val="4"/>
          </w:tcPr>
          <w:p>
            <w:pPr>
              <w:spacing w:after="0"/>
              <w:rPr>
                <w:sz w:val="14"/>
                <w:szCs w:val="14"/>
                <w:color w:val="auto"/>
              </w:rPr>
            </w:pPr>
          </w:p>
        </w:tc>
        <w:tc>
          <w:tcPr>
            <w:tcW w:w="8260" w:type="dxa"/>
            <w:vAlign w:val="bottom"/>
            <w:gridSpan w:val="20"/>
          </w:tcPr>
          <w:p>
            <w:pPr>
              <w:spacing w:after="0" w:line="167" w:lineRule="exact"/>
              <w:rPr>
                <w:sz w:val="20"/>
                <w:szCs w:val="20"/>
                <w:color w:val="auto"/>
              </w:rPr>
            </w:pPr>
            <w:r>
              <w:rPr>
                <w:rFonts w:ascii="Times New Roman" w:cs="Times New Roman" w:eastAsia="Times New Roman" w:hAnsi="Times New Roman"/>
                <w:sz w:val="16"/>
                <w:szCs w:val="16"/>
                <w:color w:val="0000EE"/>
              </w:rPr>
              <w:t>Management’s Discussion and Analysis of Financial Condition and Results of Operations</w:t>
            </w:r>
          </w:p>
        </w:tc>
        <w:tc>
          <w:tcPr>
            <w:tcW w:w="50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24</w:t>
            </w:r>
          </w:p>
        </w:tc>
      </w:tr>
      <w:tr>
        <w:trPr>
          <w:trHeight w:val="20"/>
        </w:trPr>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820" w:type="dxa"/>
            <w:vAlign w:val="bottom"/>
            <w:tcBorders>
              <w:left w:val="single" w:sz="8" w:color="0000EE"/>
            </w:tcBorders>
            <w:gridSpan w:val="2"/>
            <w:shd w:val="clear" w:color="auto" w:fill="0000EE"/>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7"/>
        </w:trPr>
        <w:tc>
          <w:tcPr>
            <w:tcW w:w="440" w:type="dxa"/>
            <w:vAlign w:val="bottom"/>
          </w:tcPr>
          <w:p>
            <w:pPr>
              <w:spacing w:after="0" w:line="167" w:lineRule="exact"/>
              <w:rPr>
                <w:sz w:val="20"/>
                <w:szCs w:val="20"/>
                <w:color w:val="auto"/>
              </w:rPr>
            </w:pPr>
            <w:r>
              <w:rPr>
                <w:rFonts w:ascii="Times New Roman" w:cs="Times New Roman" w:eastAsia="Times New Roman" w:hAnsi="Times New Roman"/>
                <w:sz w:val="16"/>
                <w:szCs w:val="16"/>
                <w:color w:val="0000EE"/>
                <w:w w:val="92"/>
              </w:rPr>
              <w:t>Item 3.</w:t>
            </w:r>
          </w:p>
        </w:tc>
        <w:tc>
          <w:tcPr>
            <w:tcW w:w="720" w:type="dxa"/>
            <w:vAlign w:val="bottom"/>
            <w:gridSpan w:val="4"/>
          </w:tcPr>
          <w:p>
            <w:pPr>
              <w:spacing w:after="0"/>
              <w:rPr>
                <w:sz w:val="14"/>
                <w:szCs w:val="14"/>
                <w:color w:val="auto"/>
              </w:rPr>
            </w:pPr>
          </w:p>
        </w:tc>
        <w:tc>
          <w:tcPr>
            <w:tcW w:w="8260" w:type="dxa"/>
            <w:vAlign w:val="bottom"/>
            <w:gridSpan w:val="20"/>
          </w:tcPr>
          <w:p>
            <w:pPr>
              <w:spacing w:after="0" w:line="167" w:lineRule="exact"/>
              <w:rPr>
                <w:sz w:val="20"/>
                <w:szCs w:val="20"/>
                <w:color w:val="auto"/>
              </w:rPr>
            </w:pPr>
            <w:r>
              <w:rPr>
                <w:rFonts w:ascii="Times New Roman" w:cs="Times New Roman" w:eastAsia="Times New Roman" w:hAnsi="Times New Roman"/>
                <w:sz w:val="16"/>
                <w:szCs w:val="16"/>
                <w:color w:val="0000EE"/>
              </w:rPr>
              <w:t>Quantitative and Qualitative Disclosures About Market Risk</w:t>
            </w:r>
          </w:p>
        </w:tc>
        <w:tc>
          <w:tcPr>
            <w:tcW w:w="50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36</w:t>
            </w:r>
          </w:p>
        </w:tc>
      </w:tr>
      <w:tr>
        <w:trPr>
          <w:trHeight w:val="20"/>
        </w:trPr>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4500" w:type="dxa"/>
            <w:vAlign w:val="bottom"/>
            <w:tcBorders>
              <w:left w:val="single" w:sz="8" w:color="0000EE"/>
            </w:tcBorders>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7"/>
        </w:trPr>
        <w:tc>
          <w:tcPr>
            <w:tcW w:w="440" w:type="dxa"/>
            <w:vAlign w:val="bottom"/>
          </w:tcPr>
          <w:p>
            <w:pPr>
              <w:spacing w:after="0" w:line="167" w:lineRule="exact"/>
              <w:rPr>
                <w:sz w:val="20"/>
                <w:szCs w:val="20"/>
                <w:color w:val="auto"/>
              </w:rPr>
            </w:pPr>
            <w:r>
              <w:rPr>
                <w:rFonts w:ascii="Times New Roman" w:cs="Times New Roman" w:eastAsia="Times New Roman" w:hAnsi="Times New Roman"/>
                <w:sz w:val="16"/>
                <w:szCs w:val="16"/>
                <w:color w:val="0000EE"/>
                <w:w w:val="92"/>
              </w:rPr>
              <w:t>Item 4.</w:t>
            </w:r>
          </w:p>
        </w:tc>
        <w:tc>
          <w:tcPr>
            <w:tcW w:w="720" w:type="dxa"/>
            <w:vAlign w:val="bottom"/>
            <w:gridSpan w:val="4"/>
          </w:tcPr>
          <w:p>
            <w:pPr>
              <w:spacing w:after="0"/>
              <w:rPr>
                <w:sz w:val="14"/>
                <w:szCs w:val="14"/>
                <w:color w:val="auto"/>
              </w:rPr>
            </w:pPr>
          </w:p>
        </w:tc>
        <w:tc>
          <w:tcPr>
            <w:tcW w:w="8260" w:type="dxa"/>
            <w:vAlign w:val="bottom"/>
            <w:gridSpan w:val="20"/>
          </w:tcPr>
          <w:p>
            <w:pPr>
              <w:spacing w:after="0" w:line="167" w:lineRule="exact"/>
              <w:rPr>
                <w:sz w:val="20"/>
                <w:szCs w:val="20"/>
                <w:color w:val="auto"/>
              </w:rPr>
            </w:pPr>
            <w:r>
              <w:rPr>
                <w:rFonts w:ascii="Times New Roman" w:cs="Times New Roman" w:eastAsia="Times New Roman" w:hAnsi="Times New Roman"/>
                <w:sz w:val="16"/>
                <w:szCs w:val="16"/>
                <w:color w:val="0000EE"/>
              </w:rPr>
              <w:t>Controls and Procedures</w:t>
            </w:r>
          </w:p>
        </w:tc>
        <w:tc>
          <w:tcPr>
            <w:tcW w:w="50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37</w:t>
            </w:r>
          </w:p>
        </w:tc>
      </w:tr>
      <w:tr>
        <w:trPr>
          <w:trHeight w:val="20"/>
        </w:trPr>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50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53"/>
        </w:trPr>
        <w:tc>
          <w:tcPr>
            <w:tcW w:w="9420" w:type="dxa"/>
            <w:vAlign w:val="bottom"/>
            <w:gridSpan w:val="25"/>
          </w:tcPr>
          <w:p>
            <w:pPr>
              <w:spacing w:after="0"/>
              <w:rPr>
                <w:sz w:val="20"/>
                <w:szCs w:val="20"/>
                <w:color w:val="auto"/>
              </w:rPr>
            </w:pPr>
            <w:r>
              <w:rPr>
                <w:rFonts w:ascii="Times New Roman" w:cs="Times New Roman" w:eastAsia="Times New Roman" w:hAnsi="Times New Roman"/>
                <w:sz w:val="16"/>
                <w:szCs w:val="16"/>
                <w:color w:val="0000EE"/>
              </w:rPr>
              <w:t>PART II. OTHER INFORMATION</w:t>
            </w:r>
          </w:p>
        </w:tc>
        <w:tc>
          <w:tcPr>
            <w:tcW w:w="500" w:type="dxa"/>
            <w:vAlign w:val="bottom"/>
          </w:tcPr>
          <w:p>
            <w:pPr>
              <w:spacing w:after="0"/>
              <w:rPr>
                <w:sz w:val="24"/>
                <w:szCs w:val="24"/>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50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7"/>
        </w:trPr>
        <w:tc>
          <w:tcPr>
            <w:tcW w:w="440" w:type="dxa"/>
            <w:vAlign w:val="bottom"/>
          </w:tcPr>
          <w:p>
            <w:pPr>
              <w:spacing w:after="0" w:line="167" w:lineRule="exact"/>
              <w:rPr>
                <w:sz w:val="20"/>
                <w:szCs w:val="20"/>
                <w:color w:val="auto"/>
              </w:rPr>
            </w:pPr>
            <w:r>
              <w:rPr>
                <w:rFonts w:ascii="Times New Roman" w:cs="Times New Roman" w:eastAsia="Times New Roman" w:hAnsi="Times New Roman"/>
                <w:sz w:val="16"/>
                <w:szCs w:val="16"/>
                <w:color w:val="0000EE"/>
                <w:w w:val="92"/>
              </w:rPr>
              <w:t>Item 1.</w:t>
            </w:r>
          </w:p>
        </w:tc>
        <w:tc>
          <w:tcPr>
            <w:tcW w:w="720" w:type="dxa"/>
            <w:vAlign w:val="bottom"/>
            <w:gridSpan w:val="4"/>
          </w:tcPr>
          <w:p>
            <w:pPr>
              <w:spacing w:after="0"/>
              <w:rPr>
                <w:sz w:val="14"/>
                <w:szCs w:val="14"/>
                <w:color w:val="auto"/>
              </w:rPr>
            </w:pPr>
          </w:p>
        </w:tc>
        <w:tc>
          <w:tcPr>
            <w:tcW w:w="8260" w:type="dxa"/>
            <w:vAlign w:val="bottom"/>
            <w:gridSpan w:val="20"/>
          </w:tcPr>
          <w:p>
            <w:pPr>
              <w:spacing w:after="0" w:line="167" w:lineRule="exact"/>
              <w:rPr>
                <w:sz w:val="20"/>
                <w:szCs w:val="20"/>
                <w:color w:val="auto"/>
              </w:rPr>
            </w:pPr>
            <w:r>
              <w:rPr>
                <w:rFonts w:ascii="Times New Roman" w:cs="Times New Roman" w:eastAsia="Times New Roman" w:hAnsi="Times New Roman"/>
                <w:sz w:val="16"/>
                <w:szCs w:val="16"/>
                <w:color w:val="0000EE"/>
              </w:rPr>
              <w:t>Legal Proceedings</w:t>
            </w:r>
          </w:p>
        </w:tc>
        <w:tc>
          <w:tcPr>
            <w:tcW w:w="50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38</w:t>
            </w:r>
          </w:p>
        </w:tc>
      </w:tr>
      <w:tr>
        <w:trPr>
          <w:trHeight w:val="20"/>
        </w:trPr>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880" w:type="dxa"/>
            <w:vAlign w:val="bottom"/>
            <w:tcBorders>
              <w:left w:val="single" w:sz="8" w:color="0000EE"/>
            </w:tcBorders>
            <w:gridSpan w:val="4"/>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50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7"/>
        </w:trPr>
        <w:tc>
          <w:tcPr>
            <w:tcW w:w="560" w:type="dxa"/>
            <w:vAlign w:val="bottom"/>
            <w:gridSpan w:val="2"/>
          </w:tcPr>
          <w:p>
            <w:pPr>
              <w:spacing w:after="0" w:line="167" w:lineRule="exact"/>
              <w:rPr>
                <w:sz w:val="20"/>
                <w:szCs w:val="20"/>
                <w:color w:val="auto"/>
              </w:rPr>
            </w:pPr>
            <w:r>
              <w:rPr>
                <w:rFonts w:ascii="Times New Roman" w:cs="Times New Roman" w:eastAsia="Times New Roman" w:hAnsi="Times New Roman"/>
                <w:sz w:val="16"/>
                <w:szCs w:val="16"/>
                <w:color w:val="0000EE"/>
                <w:w w:val="94"/>
              </w:rPr>
              <w:t>Item 1A.</w:t>
            </w:r>
          </w:p>
        </w:tc>
        <w:tc>
          <w:tcPr>
            <w:tcW w:w="600" w:type="dxa"/>
            <w:vAlign w:val="bottom"/>
            <w:gridSpan w:val="3"/>
          </w:tcPr>
          <w:p>
            <w:pPr>
              <w:spacing w:after="0"/>
              <w:rPr>
                <w:sz w:val="14"/>
                <w:szCs w:val="14"/>
                <w:color w:val="auto"/>
              </w:rPr>
            </w:pPr>
          </w:p>
        </w:tc>
        <w:tc>
          <w:tcPr>
            <w:tcW w:w="8260" w:type="dxa"/>
            <w:vAlign w:val="bottom"/>
            <w:gridSpan w:val="20"/>
          </w:tcPr>
          <w:p>
            <w:pPr>
              <w:spacing w:after="0" w:line="167" w:lineRule="exact"/>
              <w:rPr>
                <w:sz w:val="20"/>
                <w:szCs w:val="20"/>
                <w:color w:val="auto"/>
              </w:rPr>
            </w:pPr>
            <w:r>
              <w:rPr>
                <w:rFonts w:ascii="Times New Roman" w:cs="Times New Roman" w:eastAsia="Times New Roman" w:hAnsi="Times New Roman"/>
                <w:sz w:val="16"/>
                <w:szCs w:val="16"/>
                <w:color w:val="0000EE"/>
              </w:rPr>
              <w:t>Risk Factors</w:t>
            </w:r>
          </w:p>
        </w:tc>
        <w:tc>
          <w:tcPr>
            <w:tcW w:w="50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38</w:t>
            </w: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50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7"/>
        </w:trPr>
        <w:tc>
          <w:tcPr>
            <w:tcW w:w="440" w:type="dxa"/>
            <w:vAlign w:val="bottom"/>
          </w:tcPr>
          <w:p>
            <w:pPr>
              <w:spacing w:after="0" w:line="167" w:lineRule="exact"/>
              <w:rPr>
                <w:sz w:val="20"/>
                <w:szCs w:val="20"/>
                <w:color w:val="auto"/>
              </w:rPr>
            </w:pPr>
            <w:r>
              <w:rPr>
                <w:rFonts w:ascii="Times New Roman" w:cs="Times New Roman" w:eastAsia="Times New Roman" w:hAnsi="Times New Roman"/>
                <w:sz w:val="16"/>
                <w:szCs w:val="16"/>
                <w:color w:val="0000EE"/>
                <w:w w:val="92"/>
              </w:rPr>
              <w:t>Item 2.</w:t>
            </w:r>
          </w:p>
        </w:tc>
        <w:tc>
          <w:tcPr>
            <w:tcW w:w="120" w:type="dxa"/>
            <w:vAlign w:val="bottom"/>
          </w:tcPr>
          <w:p>
            <w:pPr>
              <w:spacing w:after="0"/>
              <w:rPr>
                <w:sz w:val="14"/>
                <w:szCs w:val="14"/>
                <w:color w:val="auto"/>
              </w:rPr>
            </w:pPr>
          </w:p>
        </w:tc>
        <w:tc>
          <w:tcPr>
            <w:tcW w:w="600" w:type="dxa"/>
            <w:vAlign w:val="bottom"/>
            <w:gridSpan w:val="3"/>
          </w:tcPr>
          <w:p>
            <w:pPr>
              <w:spacing w:after="0"/>
              <w:rPr>
                <w:sz w:val="14"/>
                <w:szCs w:val="14"/>
                <w:color w:val="auto"/>
              </w:rPr>
            </w:pPr>
          </w:p>
        </w:tc>
        <w:tc>
          <w:tcPr>
            <w:tcW w:w="8260" w:type="dxa"/>
            <w:vAlign w:val="bottom"/>
            <w:gridSpan w:val="20"/>
          </w:tcPr>
          <w:p>
            <w:pPr>
              <w:spacing w:after="0" w:line="167" w:lineRule="exact"/>
              <w:rPr>
                <w:sz w:val="20"/>
                <w:szCs w:val="20"/>
                <w:color w:val="auto"/>
              </w:rPr>
            </w:pPr>
            <w:r>
              <w:rPr>
                <w:rFonts w:ascii="Times New Roman" w:cs="Times New Roman" w:eastAsia="Times New Roman" w:hAnsi="Times New Roman"/>
                <w:sz w:val="16"/>
                <w:szCs w:val="16"/>
                <w:color w:val="0000EE"/>
              </w:rPr>
              <w:t>Unregistered Sales of Equity Securities and Use of Proceeds</w:t>
            </w:r>
          </w:p>
        </w:tc>
        <w:tc>
          <w:tcPr>
            <w:tcW w:w="50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38</w:t>
            </w:r>
          </w:p>
        </w:tc>
      </w:tr>
      <w:tr>
        <w:trPr>
          <w:trHeight w:val="20"/>
        </w:trPr>
        <w:tc>
          <w:tcPr>
            <w:tcW w:w="4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880" w:type="dxa"/>
            <w:vAlign w:val="bottom"/>
            <w:tcBorders>
              <w:left w:val="single" w:sz="8" w:color="0000EE"/>
            </w:tcBorders>
            <w:gridSpan w:val="4"/>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450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7"/>
        </w:trPr>
        <w:tc>
          <w:tcPr>
            <w:tcW w:w="440" w:type="dxa"/>
            <w:vAlign w:val="bottom"/>
          </w:tcPr>
          <w:p>
            <w:pPr>
              <w:spacing w:after="0" w:line="167" w:lineRule="exact"/>
              <w:rPr>
                <w:sz w:val="20"/>
                <w:szCs w:val="20"/>
                <w:color w:val="auto"/>
              </w:rPr>
            </w:pPr>
            <w:r>
              <w:rPr>
                <w:rFonts w:ascii="Times New Roman" w:cs="Times New Roman" w:eastAsia="Times New Roman" w:hAnsi="Times New Roman"/>
                <w:sz w:val="16"/>
                <w:szCs w:val="16"/>
                <w:color w:val="0000EE"/>
                <w:w w:val="92"/>
              </w:rPr>
              <w:t>Item 3.</w:t>
            </w:r>
          </w:p>
        </w:tc>
        <w:tc>
          <w:tcPr>
            <w:tcW w:w="720" w:type="dxa"/>
            <w:vAlign w:val="bottom"/>
            <w:gridSpan w:val="4"/>
          </w:tcPr>
          <w:p>
            <w:pPr>
              <w:spacing w:after="0"/>
              <w:rPr>
                <w:sz w:val="14"/>
                <w:szCs w:val="14"/>
                <w:color w:val="auto"/>
              </w:rPr>
            </w:pPr>
          </w:p>
        </w:tc>
        <w:tc>
          <w:tcPr>
            <w:tcW w:w="8260" w:type="dxa"/>
            <w:vAlign w:val="bottom"/>
            <w:gridSpan w:val="20"/>
          </w:tcPr>
          <w:p>
            <w:pPr>
              <w:spacing w:after="0" w:line="167" w:lineRule="exact"/>
              <w:rPr>
                <w:sz w:val="20"/>
                <w:szCs w:val="20"/>
                <w:color w:val="auto"/>
              </w:rPr>
            </w:pPr>
            <w:r>
              <w:rPr>
                <w:rFonts w:ascii="Times New Roman" w:cs="Times New Roman" w:eastAsia="Times New Roman" w:hAnsi="Times New Roman"/>
                <w:sz w:val="16"/>
                <w:szCs w:val="16"/>
                <w:color w:val="0000EE"/>
              </w:rPr>
              <w:t>Defaults Upon Senior Securities</w:t>
            </w:r>
          </w:p>
        </w:tc>
        <w:tc>
          <w:tcPr>
            <w:tcW w:w="50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38</w:t>
            </w:r>
          </w:p>
        </w:tc>
      </w:tr>
      <w:tr>
        <w:trPr>
          <w:trHeight w:val="20"/>
        </w:trPr>
        <w:tc>
          <w:tcPr>
            <w:tcW w:w="4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880" w:type="dxa"/>
            <w:vAlign w:val="bottom"/>
            <w:tcBorders>
              <w:left w:val="single" w:sz="8" w:color="0000EE"/>
            </w:tcBorders>
            <w:gridSpan w:val="4"/>
            <w:shd w:val="clear" w:color="auto" w:fill="0000EE"/>
          </w:tcPr>
          <w:p>
            <w:pPr>
              <w:spacing w:after="0" w:line="20" w:lineRule="exact"/>
              <w:rPr>
                <w:sz w:val="1"/>
                <w:szCs w:val="1"/>
                <w:color w:val="auto"/>
              </w:rPr>
            </w:pPr>
          </w:p>
        </w:tc>
        <w:tc>
          <w:tcPr>
            <w:tcW w:w="6260" w:type="dxa"/>
            <w:vAlign w:val="bottom"/>
            <w:gridSpan w:val="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7"/>
        </w:trPr>
        <w:tc>
          <w:tcPr>
            <w:tcW w:w="440" w:type="dxa"/>
            <w:vAlign w:val="bottom"/>
          </w:tcPr>
          <w:p>
            <w:pPr>
              <w:spacing w:after="0" w:line="167" w:lineRule="exact"/>
              <w:rPr>
                <w:sz w:val="20"/>
                <w:szCs w:val="20"/>
                <w:color w:val="auto"/>
              </w:rPr>
            </w:pPr>
            <w:r>
              <w:rPr>
                <w:rFonts w:ascii="Times New Roman" w:cs="Times New Roman" w:eastAsia="Times New Roman" w:hAnsi="Times New Roman"/>
                <w:sz w:val="16"/>
                <w:szCs w:val="16"/>
                <w:color w:val="0000EE"/>
                <w:w w:val="92"/>
              </w:rPr>
              <w:t>Item 4.</w:t>
            </w:r>
          </w:p>
        </w:tc>
        <w:tc>
          <w:tcPr>
            <w:tcW w:w="720" w:type="dxa"/>
            <w:vAlign w:val="bottom"/>
            <w:gridSpan w:val="4"/>
          </w:tcPr>
          <w:p>
            <w:pPr>
              <w:spacing w:after="0"/>
              <w:rPr>
                <w:sz w:val="14"/>
                <w:szCs w:val="14"/>
                <w:color w:val="auto"/>
              </w:rPr>
            </w:pPr>
          </w:p>
        </w:tc>
        <w:tc>
          <w:tcPr>
            <w:tcW w:w="8260" w:type="dxa"/>
            <w:vAlign w:val="bottom"/>
            <w:gridSpan w:val="20"/>
          </w:tcPr>
          <w:p>
            <w:pPr>
              <w:spacing w:after="0" w:line="167" w:lineRule="exact"/>
              <w:rPr>
                <w:sz w:val="20"/>
                <w:szCs w:val="20"/>
                <w:color w:val="auto"/>
              </w:rPr>
            </w:pPr>
            <w:r>
              <w:rPr>
                <w:rFonts w:ascii="Times New Roman" w:cs="Times New Roman" w:eastAsia="Times New Roman" w:hAnsi="Times New Roman"/>
                <w:sz w:val="16"/>
                <w:szCs w:val="16"/>
                <w:color w:val="0000EE"/>
              </w:rPr>
              <w:t>Mine Safety Disclosures</w:t>
            </w:r>
          </w:p>
        </w:tc>
        <w:tc>
          <w:tcPr>
            <w:tcW w:w="50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38</w:t>
            </w:r>
          </w:p>
        </w:tc>
      </w:tr>
      <w:tr>
        <w:trPr>
          <w:trHeight w:val="20"/>
        </w:trPr>
        <w:tc>
          <w:tcPr>
            <w:tcW w:w="4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6740" w:type="dxa"/>
            <w:vAlign w:val="bottom"/>
            <w:gridSpan w:val="1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7"/>
        </w:trPr>
        <w:tc>
          <w:tcPr>
            <w:tcW w:w="440" w:type="dxa"/>
            <w:vAlign w:val="bottom"/>
          </w:tcPr>
          <w:p>
            <w:pPr>
              <w:spacing w:after="0" w:line="167" w:lineRule="exact"/>
              <w:rPr>
                <w:sz w:val="20"/>
                <w:szCs w:val="20"/>
                <w:color w:val="auto"/>
              </w:rPr>
            </w:pPr>
            <w:r>
              <w:rPr>
                <w:rFonts w:ascii="Times New Roman" w:cs="Times New Roman" w:eastAsia="Times New Roman" w:hAnsi="Times New Roman"/>
                <w:sz w:val="16"/>
                <w:szCs w:val="16"/>
                <w:color w:val="0000EE"/>
                <w:w w:val="92"/>
              </w:rPr>
              <w:t>Item 5.</w:t>
            </w:r>
          </w:p>
        </w:tc>
        <w:tc>
          <w:tcPr>
            <w:tcW w:w="720" w:type="dxa"/>
            <w:vAlign w:val="bottom"/>
            <w:gridSpan w:val="4"/>
          </w:tcPr>
          <w:p>
            <w:pPr>
              <w:spacing w:after="0"/>
              <w:rPr>
                <w:sz w:val="14"/>
                <w:szCs w:val="14"/>
                <w:color w:val="auto"/>
              </w:rPr>
            </w:pPr>
          </w:p>
        </w:tc>
        <w:tc>
          <w:tcPr>
            <w:tcW w:w="8260" w:type="dxa"/>
            <w:vAlign w:val="bottom"/>
            <w:gridSpan w:val="20"/>
          </w:tcPr>
          <w:p>
            <w:pPr>
              <w:spacing w:after="0" w:line="167" w:lineRule="exact"/>
              <w:rPr>
                <w:sz w:val="20"/>
                <w:szCs w:val="20"/>
                <w:color w:val="auto"/>
              </w:rPr>
            </w:pPr>
            <w:r>
              <w:rPr>
                <w:rFonts w:ascii="Times New Roman" w:cs="Times New Roman" w:eastAsia="Times New Roman" w:hAnsi="Times New Roman"/>
                <w:sz w:val="16"/>
                <w:szCs w:val="16"/>
                <w:color w:val="0000EE"/>
              </w:rPr>
              <w:t>Other Information</w:t>
            </w:r>
          </w:p>
        </w:tc>
        <w:tc>
          <w:tcPr>
            <w:tcW w:w="50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38</w:t>
            </w:r>
          </w:p>
        </w:tc>
      </w:tr>
      <w:tr>
        <w:trPr>
          <w:trHeight w:val="20"/>
        </w:trPr>
        <w:tc>
          <w:tcPr>
            <w:tcW w:w="4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7140" w:type="dxa"/>
            <w:vAlign w:val="bottom"/>
            <w:gridSpan w:val="1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7"/>
        </w:trPr>
        <w:tc>
          <w:tcPr>
            <w:tcW w:w="440" w:type="dxa"/>
            <w:vAlign w:val="bottom"/>
          </w:tcPr>
          <w:p>
            <w:pPr>
              <w:spacing w:after="0" w:line="167" w:lineRule="exact"/>
              <w:rPr>
                <w:sz w:val="20"/>
                <w:szCs w:val="20"/>
                <w:color w:val="auto"/>
              </w:rPr>
            </w:pPr>
            <w:r>
              <w:rPr>
                <w:rFonts w:ascii="Times New Roman" w:cs="Times New Roman" w:eastAsia="Times New Roman" w:hAnsi="Times New Roman"/>
                <w:sz w:val="16"/>
                <w:szCs w:val="16"/>
                <w:color w:val="0000EE"/>
                <w:w w:val="92"/>
              </w:rPr>
              <w:t>Item 6.</w:t>
            </w:r>
          </w:p>
        </w:tc>
        <w:tc>
          <w:tcPr>
            <w:tcW w:w="720" w:type="dxa"/>
            <w:vAlign w:val="bottom"/>
            <w:gridSpan w:val="4"/>
          </w:tcPr>
          <w:p>
            <w:pPr>
              <w:spacing w:after="0"/>
              <w:rPr>
                <w:sz w:val="14"/>
                <w:szCs w:val="14"/>
                <w:color w:val="auto"/>
              </w:rPr>
            </w:pPr>
          </w:p>
        </w:tc>
        <w:tc>
          <w:tcPr>
            <w:tcW w:w="8260" w:type="dxa"/>
            <w:vAlign w:val="bottom"/>
            <w:gridSpan w:val="20"/>
          </w:tcPr>
          <w:p>
            <w:pPr>
              <w:spacing w:after="0" w:line="167" w:lineRule="exact"/>
              <w:rPr>
                <w:sz w:val="20"/>
                <w:szCs w:val="20"/>
                <w:color w:val="auto"/>
              </w:rPr>
            </w:pPr>
            <w:r>
              <w:rPr>
                <w:rFonts w:ascii="Times New Roman" w:cs="Times New Roman" w:eastAsia="Times New Roman" w:hAnsi="Times New Roman"/>
                <w:sz w:val="16"/>
                <w:szCs w:val="16"/>
                <w:color w:val="0000EE"/>
              </w:rPr>
              <w:t>Exhibits</w:t>
            </w:r>
          </w:p>
        </w:tc>
        <w:tc>
          <w:tcPr>
            <w:tcW w:w="50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39</w:t>
            </w:r>
          </w:p>
        </w:tc>
      </w:tr>
      <w:tr>
        <w:trPr>
          <w:trHeight w:val="20"/>
        </w:trPr>
        <w:tc>
          <w:tcPr>
            <w:tcW w:w="4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53"/>
        </w:trPr>
        <w:tc>
          <w:tcPr>
            <w:tcW w:w="1160" w:type="dxa"/>
            <w:vAlign w:val="bottom"/>
            <w:gridSpan w:val="5"/>
          </w:tcPr>
          <w:p>
            <w:pPr>
              <w:spacing w:after="0"/>
              <w:rPr>
                <w:sz w:val="20"/>
                <w:szCs w:val="20"/>
                <w:color w:val="auto"/>
              </w:rPr>
            </w:pPr>
            <w:r>
              <w:rPr>
                <w:rFonts w:ascii="Times New Roman" w:cs="Times New Roman" w:eastAsia="Times New Roman" w:hAnsi="Times New Roman"/>
                <w:sz w:val="16"/>
                <w:szCs w:val="16"/>
                <w:color w:val="0000EE"/>
              </w:rPr>
              <w:t>SIGNATURES</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1419"/>
        </w:trPr>
        <w:tc>
          <w:tcPr>
            <w:tcW w:w="4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46"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Cautionary Note Regarding Forward-Looking Statements</w:t>
      </w:r>
    </w:p>
    <w:p>
      <w:pPr>
        <w:spacing w:after="0" w:line="11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i w:val="1"/>
          <w:iCs w:val="1"/>
          <w:color w:val="auto"/>
        </w:rPr>
        <w:t>This Quarterly Report on Form10-Q includes forward-looking statements within the meaning of Section 27A of the Securities Act of 1933, as amended, and Section 21E of the Securities Exchange Act of 1934, as amended (the “Exchange Act”). The words “anticipate,” “believe,” “continue,” “could,” “estimate,” “expect,” “intend,” “may,” “might,” “plan,” “project,” “will,” “would,” “seek,” or “should,” or the negative or plural of these words or similar expressions or variations are intended to identify such forward-looking statements. These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Risks and uncertainties that may cause actual results to differ materially from forward-looking statements include, but are not limited to, those identified in our Annual Report on Form 10-K for the year ended December 31, 2024 filed with the U.S. Securities and Exchange Commission in the sections titled “Risk Factor Summary” and “Risk Factors” set forth in Part I, Item 1A thereof, as well as our other filings made from time to time with the U.S. Securities and Exchange Commission filings.</w:t>
      </w:r>
    </w:p>
    <w:p>
      <w:pPr>
        <w:spacing w:after="0" w:line="1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i w:val="1"/>
          <w:iCs w:val="1"/>
          <w:color w:val="auto"/>
        </w:rPr>
        <w:t>Forward looking statements are based on information available to us as of the date of this Form 10-Q and, while we believe that information provides a reasonable basis for these statements, these statements are inherently uncertain, and investors are cautioned not to unduly rely on these statements. You should not rely upon forward-looking statements or forward-looking information as predictions of future events.</w:t>
      </w:r>
    </w:p>
    <w:p>
      <w:pPr>
        <w:spacing w:after="0" w:line="1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i w:val="1"/>
          <w:iCs w:val="1"/>
          <w:color w:val="auto"/>
        </w:rPr>
        <w:t>We undertake no obligation to update forward-looking statements to reflect actual results or changes in assumptions or circumstances,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875030</wp:posOffset>
            </wp:positionV>
            <wp:extent cx="6306185" cy="222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06185" cy="22225"/>
                    </a:xfrm>
                    <a:prstGeom prst="rect">
                      <a:avLst/>
                    </a:prstGeom>
                    <a:noFill/>
                  </pic:spPr>
                </pic:pic>
              </a:graphicData>
            </a:graphic>
          </wp:anchor>
        </w:drawing>
      </w:r>
    </w:p>
    <w:p>
      <w:pPr>
        <w:sectPr>
          <w:pgSz w:w="11900" w:h="16838" w:orient="portrait"/>
          <w:cols w:equalWidth="0" w:num="1">
            <w:col w:w="9940"/>
          </w:cols>
          <w:pgMar w:left="980" w:top="461" w:right="9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I—FINANCIAL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BINAH CAPITAL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FINANCIAL CONDITION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for share and per share amounts)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8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Unaudited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restart"/>
          </w:tcPr>
          <w:p>
            <w:pPr>
              <w:jc w:val="right"/>
              <w:ind w:right="11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0" w:type="dxa"/>
            <w:vAlign w:val="bottom"/>
          </w:tcPr>
          <w:p>
            <w:pPr>
              <w:spacing w:after="0"/>
              <w:rPr>
                <w:sz w:val="1"/>
                <w:szCs w:val="1"/>
                <w:color w:val="auto"/>
              </w:rPr>
            </w:pPr>
          </w:p>
        </w:tc>
      </w:tr>
      <w:tr>
        <w:trPr>
          <w:trHeight w:val="150"/>
        </w:trPr>
        <w:tc>
          <w:tcPr>
            <w:tcW w:w="1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June 30, 2025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86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CCEEFF"/>
            </w:tcBorders>
            <w:shd w:val="clear" w:color="auto" w:fill="CCEEFF"/>
          </w:tcPr>
          <w:p>
            <w:pPr>
              <w:spacing w:after="0"/>
              <w:rPr>
                <w:sz w:val="12"/>
                <w:szCs w:val="12"/>
                <w:color w:val="auto"/>
              </w:rPr>
            </w:pPr>
          </w:p>
        </w:tc>
        <w:tc>
          <w:tcPr>
            <w:tcW w:w="3660" w:type="dxa"/>
            <w:vAlign w:val="bottom"/>
            <w:tcBorders>
              <w:top w:val="single" w:sz="8" w:color="CCEEFF"/>
            </w:tcBorders>
            <w:gridSpan w:val="3"/>
            <w:shd w:val="clear" w:color="auto" w:fill="CCEEFF"/>
          </w:tcPr>
          <w:p>
            <w:pPr>
              <w:jc w:val="center"/>
              <w:ind w:right="3140"/>
              <w:spacing w:after="0" w:line="132" w:lineRule="exact"/>
              <w:rPr>
                <w:sz w:val="20"/>
                <w:szCs w:val="20"/>
                <w:color w:val="auto"/>
              </w:rPr>
            </w:pPr>
            <w:r>
              <w:rPr>
                <w:rFonts w:ascii="Times New Roman" w:cs="Times New Roman" w:eastAsia="Times New Roman" w:hAnsi="Times New Roman"/>
                <w:sz w:val="14"/>
                <w:szCs w:val="14"/>
                <w:b w:val="1"/>
                <w:bCs w:val="1"/>
                <w:color w:val="auto"/>
                <w:w w:val="99"/>
              </w:rPr>
              <w:t>ASSETS</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1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520" w:type="dxa"/>
            <w:vAlign w:val="bottom"/>
            <w:tcBorders>
              <w:top w:val="single" w:sz="8" w:color="auto"/>
            </w:tcBorders>
          </w:tcPr>
          <w:p>
            <w:pPr>
              <w:spacing w:after="0"/>
              <w:rPr>
                <w:sz w:val="15"/>
                <w:szCs w:val="15"/>
                <w:color w:val="auto"/>
              </w:rPr>
            </w:pPr>
          </w:p>
        </w:tc>
        <w:tc>
          <w:tcPr>
            <w:tcW w:w="3140" w:type="dxa"/>
            <w:vAlign w:val="bottom"/>
            <w:tcBorders>
              <w:top w:val="single" w:sz="8" w:color="CCEEFF"/>
            </w:tcBorders>
            <w:gridSpan w:val="2"/>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1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cash equivalents and restricted cash</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8,170</w:t>
            </w:r>
          </w:p>
        </w:tc>
        <w:tc>
          <w:tcPr>
            <w:tcW w:w="10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8,486</w:t>
            </w:r>
          </w:p>
        </w:tc>
        <w:tc>
          <w:tcPr>
            <w:tcW w:w="0" w:type="dxa"/>
            <w:vAlign w:val="bottom"/>
          </w:tcPr>
          <w:p>
            <w:pPr>
              <w:spacing w:after="0"/>
              <w:rPr>
                <w:sz w:val="1"/>
                <w:szCs w:val="1"/>
                <w:color w:val="auto"/>
              </w:rPr>
            </w:pPr>
          </w:p>
        </w:tc>
      </w:tr>
      <w:tr>
        <w:trPr>
          <w:trHeight w:val="175"/>
        </w:trPr>
        <w:tc>
          <w:tcPr>
            <w:tcW w:w="67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Receivables, net: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8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Commission receivable</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9,198</w:t>
            </w:r>
          </w:p>
        </w:tc>
        <w:tc>
          <w:tcPr>
            <w:tcW w:w="0" w:type="dxa"/>
            <w:vAlign w:val="bottom"/>
          </w:tcPr>
          <w:p>
            <w:pPr>
              <w:spacing w:after="0"/>
              <w:rPr>
                <w:sz w:val="1"/>
                <w:szCs w:val="1"/>
                <w:color w:val="auto"/>
              </w:rPr>
            </w:pPr>
          </w:p>
        </w:tc>
      </w:tr>
      <w:tr>
        <w:trPr>
          <w:trHeight w:val="175"/>
        </w:trPr>
        <w:tc>
          <w:tcPr>
            <w:tcW w:w="6780" w:type="dxa"/>
            <w:vAlign w:val="bottom"/>
            <w:gridSpan w:val="5"/>
          </w:tcPr>
          <w:p>
            <w:pPr>
              <w:ind w:left="100"/>
              <w:spacing w:after="0"/>
              <w:rPr>
                <w:sz w:val="20"/>
                <w:szCs w:val="20"/>
                <w:color w:val="auto"/>
              </w:rPr>
            </w:pPr>
            <w:r>
              <w:rPr>
                <w:rFonts w:ascii="Times New Roman" w:cs="Times New Roman" w:eastAsia="Times New Roman" w:hAnsi="Times New Roman"/>
                <w:sz w:val="14"/>
                <w:szCs w:val="14"/>
                <w:color w:val="auto"/>
              </w:rPr>
              <w:t>Due from clearing broker</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0" w:type="dxa"/>
            <w:vAlign w:val="bottom"/>
          </w:tcPr>
          <w:p>
            <w:pPr>
              <w:spacing w:after="0"/>
              <w:rPr>
                <w:sz w:val="1"/>
                <w:szCs w:val="1"/>
                <w:color w:val="auto"/>
              </w:rPr>
            </w:pPr>
          </w:p>
        </w:tc>
      </w:tr>
      <w:tr>
        <w:trPr>
          <w:trHeight w:val="175"/>
        </w:trPr>
        <w:tc>
          <w:tcPr>
            <w:tcW w:w="678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0" w:type="dxa"/>
            <w:vAlign w:val="bottom"/>
          </w:tcPr>
          <w:p>
            <w:pPr>
              <w:spacing w:after="0"/>
              <w:rPr>
                <w:sz w:val="1"/>
                <w:szCs w:val="1"/>
                <w:color w:val="auto"/>
              </w:rPr>
            </w:pPr>
          </w:p>
        </w:tc>
      </w:tr>
      <w:tr>
        <w:trPr>
          <w:trHeight w:val="175"/>
        </w:trPr>
        <w:tc>
          <w:tcPr>
            <w:tcW w:w="67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0" w:type="dxa"/>
            <w:vAlign w:val="bottom"/>
          </w:tcPr>
          <w:p>
            <w:pPr>
              <w:spacing w:after="0"/>
              <w:rPr>
                <w:sz w:val="1"/>
                <w:szCs w:val="1"/>
                <w:color w:val="auto"/>
              </w:rPr>
            </w:pPr>
          </w:p>
        </w:tc>
      </w:tr>
      <w:tr>
        <w:trPr>
          <w:trHeight w:val="175"/>
        </w:trPr>
        <w:tc>
          <w:tcPr>
            <w:tcW w:w="67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Right of use assets</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3,730</w:t>
            </w:r>
          </w:p>
        </w:tc>
        <w:tc>
          <w:tcPr>
            <w:tcW w:w="0" w:type="dxa"/>
            <w:vAlign w:val="bottom"/>
          </w:tcPr>
          <w:p>
            <w:pPr>
              <w:spacing w:after="0"/>
              <w:rPr>
                <w:sz w:val="1"/>
                <w:szCs w:val="1"/>
                <w:color w:val="auto"/>
              </w:rPr>
            </w:pPr>
          </w:p>
        </w:tc>
      </w:tr>
      <w:tr>
        <w:trPr>
          <w:trHeight w:val="175"/>
        </w:trPr>
        <w:tc>
          <w:tcPr>
            <w:tcW w:w="67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Intangible assets, net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w:t>
            </w:r>
          </w:p>
        </w:tc>
        <w:tc>
          <w:tcPr>
            <w:tcW w:w="0" w:type="dxa"/>
            <w:vAlign w:val="bottom"/>
          </w:tcPr>
          <w:p>
            <w:pPr>
              <w:spacing w:after="0"/>
              <w:rPr>
                <w:sz w:val="1"/>
                <w:szCs w:val="1"/>
                <w:color w:val="auto"/>
              </w:rPr>
            </w:pPr>
          </w:p>
        </w:tc>
      </w:tr>
      <w:tr>
        <w:trPr>
          <w:trHeight w:val="175"/>
        </w:trPr>
        <w:tc>
          <w:tcPr>
            <w:tcW w:w="67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39,839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39,839</w:t>
            </w:r>
          </w:p>
        </w:tc>
        <w:tc>
          <w:tcPr>
            <w:tcW w:w="0" w:type="dxa"/>
            <w:vAlign w:val="bottom"/>
          </w:tcPr>
          <w:p>
            <w:pPr>
              <w:spacing w:after="0"/>
              <w:rPr>
                <w:sz w:val="1"/>
                <w:szCs w:val="1"/>
                <w:color w:val="auto"/>
              </w:rPr>
            </w:pPr>
          </w:p>
        </w:tc>
      </w:tr>
      <w:tr>
        <w:trPr>
          <w:trHeight w:val="175"/>
        </w:trPr>
        <w:tc>
          <w:tcPr>
            <w:tcW w:w="678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3,419</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1,993</w:t>
            </w:r>
          </w:p>
        </w:tc>
        <w:tc>
          <w:tcPr>
            <w:tcW w:w="0" w:type="dxa"/>
            <w:vAlign w:val="bottom"/>
          </w:tcPr>
          <w:p>
            <w:pPr>
              <w:spacing w:after="0"/>
              <w:rPr>
                <w:sz w:val="1"/>
                <w:szCs w:val="1"/>
                <w:color w:val="auto"/>
              </w:rPr>
            </w:pPr>
          </w:p>
        </w:tc>
      </w:tr>
      <w:tr>
        <w:trPr>
          <w:trHeight w:val="167"/>
        </w:trPr>
        <w:tc>
          <w:tcPr>
            <w:tcW w:w="18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67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67,791</w:t>
            </w: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66,677</w:t>
            </w:r>
          </w:p>
        </w:tc>
        <w:tc>
          <w:tcPr>
            <w:tcW w:w="0" w:type="dxa"/>
            <w:vAlign w:val="bottom"/>
          </w:tcPr>
          <w:p>
            <w:pPr>
              <w:spacing w:after="0"/>
              <w:rPr>
                <w:sz w:val="1"/>
                <w:szCs w:val="1"/>
                <w:color w:val="auto"/>
              </w:rPr>
            </w:pPr>
          </w:p>
        </w:tc>
      </w:tr>
      <w:tr>
        <w:trPr>
          <w:trHeight w:val="150"/>
        </w:trPr>
        <w:tc>
          <w:tcPr>
            <w:tcW w:w="186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8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60" w:type="dxa"/>
            <w:vAlign w:val="bottom"/>
          </w:tcPr>
          <w:p>
            <w:pPr>
              <w:spacing w:after="0"/>
              <w:rPr>
                <w:sz w:val="12"/>
                <w:szCs w:val="12"/>
                <w:color w:val="auto"/>
              </w:rPr>
            </w:pPr>
          </w:p>
        </w:tc>
        <w:tc>
          <w:tcPr>
            <w:tcW w:w="4920" w:type="dxa"/>
            <w:vAlign w:val="bottom"/>
            <w:gridSpan w:val="4"/>
          </w:tcPr>
          <w:p>
            <w:pPr>
              <w:jc w:val="center"/>
              <w:ind w:right="1880"/>
              <w:spacing w:after="0" w:line="140" w:lineRule="exact"/>
              <w:rPr>
                <w:sz w:val="20"/>
                <w:szCs w:val="20"/>
                <w:color w:val="auto"/>
              </w:rPr>
            </w:pPr>
            <w:r>
              <w:rPr>
                <w:rFonts w:ascii="Times New Roman" w:cs="Times New Roman" w:eastAsia="Times New Roman" w:hAnsi="Times New Roman"/>
                <w:sz w:val="14"/>
                <w:szCs w:val="14"/>
                <w:b w:val="1"/>
                <w:bCs w:val="1"/>
                <w:color w:val="auto"/>
                <w:w w:val="99"/>
              </w:rPr>
              <w:t>LIABILITIES AND STOCKHOLDERS’ EQUITY</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860" w:type="dxa"/>
            <w:vAlign w:val="bottom"/>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12,234</w:t>
            </w:r>
          </w:p>
        </w:tc>
        <w:tc>
          <w:tcPr>
            <w:tcW w:w="10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10,208</w:t>
            </w:r>
          </w:p>
        </w:tc>
        <w:tc>
          <w:tcPr>
            <w:tcW w:w="0" w:type="dxa"/>
            <w:vAlign w:val="bottom"/>
          </w:tcPr>
          <w:p>
            <w:pPr>
              <w:spacing w:after="0"/>
              <w:rPr>
                <w:sz w:val="1"/>
                <w:szCs w:val="1"/>
                <w:color w:val="auto"/>
              </w:rPr>
            </w:pPr>
          </w:p>
        </w:tc>
      </w:tr>
      <w:tr>
        <w:trPr>
          <w:trHeight w:val="175"/>
        </w:trPr>
        <w:tc>
          <w:tcPr>
            <w:tcW w:w="67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Commissions payable</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11,468</w:t>
            </w:r>
          </w:p>
        </w:tc>
        <w:tc>
          <w:tcPr>
            <w:tcW w:w="0" w:type="dxa"/>
            <w:vAlign w:val="bottom"/>
          </w:tcPr>
          <w:p>
            <w:pPr>
              <w:spacing w:after="0"/>
              <w:rPr>
                <w:sz w:val="1"/>
                <w:szCs w:val="1"/>
                <w:color w:val="auto"/>
              </w:rPr>
            </w:pPr>
          </w:p>
        </w:tc>
      </w:tr>
      <w:tr>
        <w:trPr>
          <w:trHeight w:val="175"/>
        </w:trPr>
        <w:tc>
          <w:tcPr>
            <w:tcW w:w="67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3,820</w:t>
            </w:r>
          </w:p>
        </w:tc>
        <w:tc>
          <w:tcPr>
            <w:tcW w:w="0" w:type="dxa"/>
            <w:vAlign w:val="bottom"/>
          </w:tcPr>
          <w:p>
            <w:pPr>
              <w:spacing w:after="0"/>
              <w:rPr>
                <w:sz w:val="1"/>
                <w:szCs w:val="1"/>
                <w:color w:val="auto"/>
              </w:rPr>
            </w:pPr>
          </w:p>
        </w:tc>
      </w:tr>
      <w:tr>
        <w:trPr>
          <w:trHeight w:val="163"/>
        </w:trPr>
        <w:tc>
          <w:tcPr>
            <w:tcW w:w="67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Notes payable, net of unamortized debt issuance costs of $665 and $739 as of June 30, 2025 and December 31, 2024,</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780" w:type="dxa"/>
            <w:vAlign w:val="bottom"/>
            <w:gridSpan w:val="5"/>
          </w:tcPr>
          <w:p>
            <w:pPr>
              <w:ind w:left="120"/>
              <w:spacing w:after="0"/>
              <w:rPr>
                <w:sz w:val="20"/>
                <w:szCs w:val="20"/>
                <w:color w:val="auto"/>
              </w:rPr>
            </w:pPr>
            <w:r>
              <w:rPr>
                <w:rFonts w:ascii="Times New Roman" w:cs="Times New Roman" w:eastAsia="Times New Roman" w:hAnsi="Times New Roman"/>
                <w:sz w:val="14"/>
                <w:szCs w:val="14"/>
                <w:color w:val="auto"/>
              </w:rPr>
              <w:t>respectively</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19,561</w:t>
            </w:r>
          </w:p>
        </w:tc>
        <w:tc>
          <w:tcPr>
            <w:tcW w:w="0" w:type="dxa"/>
            <w:vAlign w:val="bottom"/>
          </w:tcPr>
          <w:p>
            <w:pPr>
              <w:spacing w:after="0"/>
              <w:rPr>
                <w:sz w:val="1"/>
                <w:szCs w:val="1"/>
                <w:color w:val="auto"/>
              </w:rPr>
            </w:pPr>
          </w:p>
        </w:tc>
      </w:tr>
      <w:tr>
        <w:trPr>
          <w:trHeight w:val="177"/>
        </w:trPr>
        <w:tc>
          <w:tcPr>
            <w:tcW w:w="67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Promissory notes-affiliates</w:t>
            </w:r>
          </w:p>
        </w:tc>
        <w:tc>
          <w:tcPr>
            <w:tcW w:w="2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5,442</w:t>
            </w:r>
          </w:p>
        </w:tc>
        <w:tc>
          <w:tcPr>
            <w:tcW w:w="0" w:type="dxa"/>
            <w:vAlign w:val="bottom"/>
          </w:tcPr>
          <w:p>
            <w:pPr>
              <w:spacing w:after="0"/>
              <w:rPr>
                <w:sz w:val="1"/>
                <w:szCs w:val="1"/>
                <w:color w:val="auto"/>
              </w:rPr>
            </w:pPr>
          </w:p>
        </w:tc>
      </w:tr>
      <w:tr>
        <w:trPr>
          <w:trHeight w:val="167"/>
        </w:trPr>
        <w:tc>
          <w:tcPr>
            <w:tcW w:w="1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7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51,404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50,499</w:t>
            </w:r>
          </w:p>
        </w:tc>
        <w:tc>
          <w:tcPr>
            <w:tcW w:w="0" w:type="dxa"/>
            <w:vAlign w:val="bottom"/>
          </w:tcPr>
          <w:p>
            <w:pPr>
              <w:spacing w:after="0"/>
              <w:rPr>
                <w:sz w:val="1"/>
                <w:szCs w:val="1"/>
                <w:color w:val="auto"/>
              </w:rPr>
            </w:pPr>
          </w:p>
        </w:tc>
      </w:tr>
      <w:tr>
        <w:trPr>
          <w:trHeight w:val="175"/>
        </w:trPr>
        <w:tc>
          <w:tcPr>
            <w:tcW w:w="18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Mezzanine Equity:</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6780" w:type="dxa"/>
            <w:vAlign w:val="bottom"/>
            <w:gridSpan w:val="5"/>
          </w:tcPr>
          <w:p>
            <w:pPr>
              <w:ind w:left="100"/>
              <w:spacing w:after="0"/>
              <w:rPr>
                <w:sz w:val="20"/>
                <w:szCs w:val="20"/>
                <w:color w:val="auto"/>
              </w:rPr>
            </w:pPr>
            <w:r>
              <w:rPr>
                <w:rFonts w:ascii="Times New Roman" w:cs="Times New Roman" w:eastAsia="Times New Roman" w:hAnsi="Times New Roman"/>
                <w:sz w:val="14"/>
                <w:szCs w:val="14"/>
                <w:color w:val="auto"/>
              </w:rPr>
              <w:t>Redeemable Series A Convertible Preferred Stock, par value $0.0001, 2,000,000 shares authorized, 1,590,000 and</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780" w:type="dxa"/>
            <w:vAlign w:val="bottom"/>
            <w:gridSpan w:val="5"/>
          </w:tcPr>
          <w:p>
            <w:pPr>
              <w:ind w:left="200"/>
              <w:spacing w:after="0"/>
              <w:rPr>
                <w:sz w:val="20"/>
                <w:szCs w:val="20"/>
                <w:color w:val="auto"/>
              </w:rPr>
            </w:pPr>
            <w:r>
              <w:rPr>
                <w:rFonts w:ascii="Times New Roman" w:cs="Times New Roman" w:eastAsia="Times New Roman" w:hAnsi="Times New Roman"/>
                <w:sz w:val="14"/>
                <w:szCs w:val="14"/>
                <w:color w:val="auto"/>
              </w:rPr>
              <w:t>1,555,000 shares outstanding at June 30, 2025 and December 31, 2024</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14,947</w:t>
            </w:r>
          </w:p>
        </w:tc>
        <w:tc>
          <w:tcPr>
            <w:tcW w:w="0" w:type="dxa"/>
            <w:vAlign w:val="bottom"/>
          </w:tcPr>
          <w:p>
            <w:pPr>
              <w:spacing w:after="0"/>
              <w:rPr>
                <w:sz w:val="1"/>
                <w:szCs w:val="1"/>
                <w:color w:val="auto"/>
              </w:rPr>
            </w:pPr>
          </w:p>
        </w:tc>
      </w:tr>
      <w:tr>
        <w:trPr>
          <w:trHeight w:val="177"/>
        </w:trPr>
        <w:tc>
          <w:tcPr>
            <w:tcW w:w="67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Stockholders’ Equity and Members’ Equity:</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6780" w:type="dxa"/>
            <w:vAlign w:val="bottom"/>
            <w:gridSpan w:val="5"/>
          </w:tcPr>
          <w:p>
            <w:pPr>
              <w:ind w:left="100"/>
              <w:spacing w:after="0"/>
              <w:rPr>
                <w:sz w:val="20"/>
                <w:szCs w:val="20"/>
                <w:color w:val="auto"/>
              </w:rPr>
            </w:pPr>
            <w:r>
              <w:rPr>
                <w:rFonts w:ascii="Times New Roman" w:cs="Times New Roman" w:eastAsia="Times New Roman" w:hAnsi="Times New Roman"/>
                <w:sz w:val="14"/>
                <w:szCs w:val="14"/>
                <w:color w:val="auto"/>
              </w:rPr>
              <w:t>Series B Convertible Preferred Stock, par value $0.0001, 500,000 shares authorized, 150,000 shares outstanding at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780" w:type="dxa"/>
            <w:vAlign w:val="bottom"/>
            <w:gridSpan w:val="5"/>
          </w:tcPr>
          <w:p>
            <w:pPr>
              <w:ind w:left="200"/>
              <w:spacing w:after="0"/>
              <w:rPr>
                <w:sz w:val="20"/>
                <w:szCs w:val="20"/>
                <w:color w:val="auto"/>
              </w:rPr>
            </w:pPr>
            <w:r>
              <w:rPr>
                <w:rFonts w:ascii="Times New Roman" w:cs="Times New Roman" w:eastAsia="Times New Roman" w:hAnsi="Times New Roman"/>
                <w:sz w:val="14"/>
                <w:szCs w:val="14"/>
                <w:color w:val="auto"/>
              </w:rPr>
              <w:t>June 30, 2025 and December 31, 2024</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0" w:type="dxa"/>
            <w:vAlign w:val="bottom"/>
          </w:tcPr>
          <w:p>
            <w:pPr>
              <w:spacing w:after="0"/>
              <w:rPr>
                <w:sz w:val="1"/>
                <w:szCs w:val="1"/>
                <w:color w:val="auto"/>
              </w:rPr>
            </w:pPr>
          </w:p>
        </w:tc>
      </w:tr>
      <w:tr>
        <w:trPr>
          <w:trHeight w:val="165"/>
        </w:trPr>
        <w:tc>
          <w:tcPr>
            <w:tcW w:w="678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Common stock, $0.0001 par value, 55,000,000 authorized, 16,602,460 issued and outstanding at June 30, 2025 and</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678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December 31, 2024</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6780" w:type="dxa"/>
            <w:vAlign w:val="bottom"/>
            <w:gridSpan w:val="5"/>
          </w:tcPr>
          <w:p>
            <w:pPr>
              <w:ind w:left="100"/>
              <w:spacing w:after="0"/>
              <w:rPr>
                <w:sz w:val="20"/>
                <w:szCs w:val="20"/>
                <w:color w:val="auto"/>
              </w:rPr>
            </w:pPr>
            <w:r>
              <w:rPr>
                <w:rFonts w:ascii="Times New Roman" w:cs="Times New Roman" w:eastAsia="Times New Roman" w:hAnsi="Times New Roman"/>
                <w:sz w:val="14"/>
                <w:szCs w:val="14"/>
                <w:color w:val="auto"/>
              </w:rPr>
              <w:t>Additional paid-in-capital</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22,984</w:t>
            </w:r>
          </w:p>
        </w:tc>
        <w:tc>
          <w:tcPr>
            <w:tcW w:w="0" w:type="dxa"/>
            <w:vAlign w:val="bottom"/>
          </w:tcPr>
          <w:p>
            <w:pPr>
              <w:spacing w:after="0"/>
              <w:rPr>
                <w:sz w:val="1"/>
                <w:szCs w:val="1"/>
                <w:color w:val="auto"/>
              </w:rPr>
            </w:pPr>
          </w:p>
        </w:tc>
      </w:tr>
      <w:tr>
        <w:trPr>
          <w:trHeight w:val="175"/>
        </w:trPr>
        <w:tc>
          <w:tcPr>
            <w:tcW w:w="678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Accumulated deficit</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(22,874)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(23,253)</w:t>
            </w:r>
          </w:p>
        </w:tc>
        <w:tc>
          <w:tcPr>
            <w:tcW w:w="0" w:type="dxa"/>
            <w:vAlign w:val="bottom"/>
          </w:tcPr>
          <w:p>
            <w:pPr>
              <w:spacing w:after="0"/>
              <w:rPr>
                <w:sz w:val="1"/>
                <w:szCs w:val="1"/>
                <w:color w:val="auto"/>
              </w:rPr>
            </w:pPr>
          </w:p>
        </w:tc>
      </w:tr>
      <w:tr>
        <w:trPr>
          <w:trHeight w:val="175"/>
        </w:trPr>
        <w:tc>
          <w:tcPr>
            <w:tcW w:w="6780" w:type="dxa"/>
            <w:vAlign w:val="bottom"/>
            <w:gridSpan w:val="5"/>
          </w:tcPr>
          <w:p>
            <w:pPr>
              <w:ind w:left="10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6780" w:type="dxa"/>
            <w:vAlign w:val="bottom"/>
            <w:tcBorders>
              <w:top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Stockholders’ Equity and Mezzanine Equity</w:t>
            </w:r>
          </w:p>
        </w:tc>
        <w:tc>
          <w:tcPr>
            <w:tcW w:w="2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16,178</w:t>
            </w:r>
          </w:p>
        </w:tc>
        <w:tc>
          <w:tcPr>
            <w:tcW w:w="0" w:type="dxa"/>
            <w:vAlign w:val="bottom"/>
          </w:tcPr>
          <w:p>
            <w:pPr>
              <w:spacing w:after="0"/>
              <w:rPr>
                <w:sz w:val="1"/>
                <w:szCs w:val="1"/>
                <w:color w:val="auto"/>
              </w:rPr>
            </w:pPr>
          </w:p>
        </w:tc>
      </w:tr>
      <w:tr>
        <w:trPr>
          <w:trHeight w:val="167"/>
        </w:trPr>
        <w:tc>
          <w:tcPr>
            <w:tcW w:w="1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7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LIABILITIES, MEZZANINE EQUITY AND STOCKHOLDERS’ EQUITY</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67,791</w:t>
            </w:r>
          </w:p>
        </w:tc>
        <w:tc>
          <w:tcPr>
            <w:tcW w:w="10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66,677</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308610</wp:posOffset>
            </wp:positionV>
            <wp:extent cx="6306185" cy="222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06185" cy="22225"/>
                    </a:xfrm>
                    <a:prstGeom prst="rect">
                      <a:avLst/>
                    </a:prstGeom>
                    <a:noFill/>
                  </pic:spPr>
                </pic:pic>
              </a:graphicData>
            </a:graphic>
          </wp:anchor>
        </w:drawing>
      </w:r>
    </w:p>
    <w:p>
      <w:pPr>
        <w:sectPr>
          <w:pgSz w:w="11900" w:h="16838" w:orient="portrait"/>
          <w:cols w:equalWidth="0" w:num="1">
            <w:col w:w="9920"/>
          </w:cols>
          <w:pgMar w:left="980" w:top="461"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BINAH CAPITAL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40" w:type="dxa"/>
            <w:vAlign w:val="bottom"/>
            <w:gridSpan w:val="5"/>
          </w:tcPr>
          <w:p>
            <w:pPr>
              <w:ind w:left="4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180" w:type="dxa"/>
            <w:vAlign w:val="bottom"/>
          </w:tcPr>
          <w:p>
            <w:pPr>
              <w:spacing w:after="0"/>
              <w:rPr>
                <w:sz w:val="13"/>
                <w:szCs w:val="13"/>
                <w:color w:val="auto"/>
              </w:rPr>
            </w:pPr>
          </w:p>
        </w:tc>
        <w:tc>
          <w:tcPr>
            <w:tcW w:w="1860" w:type="dxa"/>
            <w:vAlign w:val="bottom"/>
            <w:gridSpan w:val="5"/>
          </w:tcPr>
          <w:p>
            <w:pPr>
              <w:ind w:left="120"/>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0" w:type="dxa"/>
            <w:vAlign w:val="bottom"/>
          </w:tcPr>
          <w:p>
            <w:pPr>
              <w:spacing w:after="0"/>
              <w:rPr>
                <w:sz w:val="1"/>
                <w:szCs w:val="1"/>
                <w:color w:val="auto"/>
              </w:rPr>
            </w:pPr>
          </w:p>
        </w:tc>
      </w:tr>
      <w:tr>
        <w:trPr>
          <w:trHeight w:val="120"/>
        </w:trPr>
        <w:tc>
          <w:tcPr>
            <w:tcW w:w="5340" w:type="dxa"/>
            <w:vAlign w:val="bottom"/>
            <w:tcBorders>
              <w:bottom w:val="single" w:sz="8" w:color="CCEEFF"/>
            </w:tcBorders>
          </w:tcPr>
          <w:p>
            <w:pPr>
              <w:spacing w:after="0"/>
              <w:rPr>
                <w:sz w:val="10"/>
                <w:szCs w:val="10"/>
                <w:color w:val="auto"/>
              </w:rPr>
            </w:pPr>
          </w:p>
        </w:tc>
        <w:tc>
          <w:tcPr>
            <w:tcW w:w="380" w:type="dxa"/>
            <w:vAlign w:val="bottom"/>
            <w:tcBorders>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tcBorders>
          </w:tcPr>
          <w:p>
            <w:pPr>
              <w:jc w:val="right"/>
              <w:ind w:right="264"/>
              <w:spacing w:after="0" w:line="120" w:lineRule="exact"/>
              <w:rPr>
                <w:sz w:val="20"/>
                <w:szCs w:val="20"/>
                <w:color w:val="auto"/>
              </w:rPr>
            </w:pPr>
            <w:r>
              <w:rPr>
                <w:rFonts w:ascii="Times New Roman" w:cs="Times New Roman" w:eastAsia="Times New Roman" w:hAnsi="Times New Roman"/>
                <w:sz w:val="12"/>
                <w:szCs w:val="12"/>
                <w:b w:val="1"/>
                <w:bCs w:val="1"/>
                <w:color w:val="auto"/>
              </w:rPr>
              <w:t>2025</w:t>
            </w:r>
          </w:p>
        </w:tc>
        <w:tc>
          <w:tcPr>
            <w:tcW w:w="160" w:type="dxa"/>
            <w:vAlign w:val="bottom"/>
            <w:tcBorders>
              <w:top w:val="single" w:sz="8" w:color="auto"/>
              <w:bottom w:val="single" w:sz="8" w:color="CCEEFF"/>
            </w:tcBorders>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263"/>
              <w:spacing w:after="0" w:line="120" w:lineRule="exact"/>
              <w:rPr>
                <w:sz w:val="20"/>
                <w:szCs w:val="20"/>
                <w:color w:val="auto"/>
              </w:rPr>
            </w:pPr>
            <w:r>
              <w:rPr>
                <w:rFonts w:ascii="Times New Roman" w:cs="Times New Roman" w:eastAsia="Times New Roman" w:hAnsi="Times New Roman"/>
                <w:sz w:val="12"/>
                <w:szCs w:val="12"/>
                <w:b w:val="1"/>
                <w:bCs w:val="1"/>
                <w:color w:val="auto"/>
              </w:rPr>
              <w:t>2024</w:t>
            </w:r>
          </w:p>
        </w:tc>
        <w:tc>
          <w:tcPr>
            <w:tcW w:w="160" w:type="dxa"/>
            <w:vAlign w:val="bottom"/>
            <w:tcBorders>
              <w:bottom w:val="single" w:sz="8" w:color="CCEEFF"/>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64"/>
              <w:spacing w:after="0" w:line="120" w:lineRule="exact"/>
              <w:rPr>
                <w:sz w:val="20"/>
                <w:szCs w:val="20"/>
                <w:color w:val="auto"/>
              </w:rPr>
            </w:pPr>
            <w:r>
              <w:rPr>
                <w:rFonts w:ascii="Times New Roman" w:cs="Times New Roman" w:eastAsia="Times New Roman" w:hAnsi="Times New Roman"/>
                <w:sz w:val="12"/>
                <w:szCs w:val="12"/>
                <w:b w:val="1"/>
                <w:bCs w:val="1"/>
                <w:color w:val="auto"/>
              </w:rPr>
              <w:t>2025</w:t>
            </w:r>
          </w:p>
        </w:tc>
        <w:tc>
          <w:tcPr>
            <w:tcW w:w="160" w:type="dxa"/>
            <w:vAlign w:val="bottom"/>
            <w:tcBorders>
              <w:top w:val="single" w:sz="8" w:color="auto"/>
              <w:bottom w:val="single" w:sz="8" w:color="CCEEFF"/>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263"/>
              <w:spacing w:after="0" w:line="120" w:lineRule="exact"/>
              <w:rPr>
                <w:sz w:val="20"/>
                <w:szCs w:val="20"/>
                <w:color w:val="auto"/>
              </w:rPr>
            </w:pPr>
            <w:r>
              <w:rPr>
                <w:rFonts w:ascii="Times New Roman" w:cs="Times New Roman" w:eastAsia="Times New Roman" w:hAnsi="Times New Roman"/>
                <w:sz w:val="12"/>
                <w:szCs w:val="12"/>
                <w:b w:val="1"/>
                <w:bCs w:val="1"/>
                <w:color w:val="auto"/>
              </w:rPr>
              <w:t>2024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534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Revenues:</w:t>
            </w: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Revenue from Contracts with Customers:</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Commissions</w:t>
            </w: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33,998</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33,663</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75,137</w:t>
            </w:r>
          </w:p>
        </w:tc>
        <w:tc>
          <w:tcPr>
            <w:tcW w:w="36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Advisory fees</w:t>
            </w:r>
          </w:p>
        </w:tc>
        <w:tc>
          <w:tcPr>
            <w:tcW w:w="3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6,627</w:t>
            </w: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6,320</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13,542</w:t>
            </w: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34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Total Revenue from Contracts with Customers</w:t>
            </w: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40,625</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39,983</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88,679</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80,061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Interest and other income</w:t>
            </w:r>
          </w:p>
        </w:tc>
        <w:tc>
          <w:tcPr>
            <w:tcW w:w="3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1,752</w:t>
            </w: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3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revenues</w:t>
            </w:r>
          </w:p>
        </w:tc>
        <w:tc>
          <w:tcPr>
            <w:tcW w:w="3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41,497</w:t>
            </w: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40,648</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90,431</w:t>
            </w: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82,095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Commissions and fees</w:t>
            </w: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32,740</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33,352</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73,038</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Employee compensation and benefits</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4,926</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3,594</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9,277</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Rent and occupancy</w:t>
            </w: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Professional fees</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Technology fees</w:t>
            </w: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1,443</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3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1,977</w:t>
            </w: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1,765</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2,480</w:t>
            </w: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3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expenses</w:t>
            </w:r>
          </w:p>
        </w:tc>
        <w:tc>
          <w:tcPr>
            <w:tcW w:w="3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42,058</w:t>
            </w: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41,171</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89,537</w:t>
            </w: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84,062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(loss) before provision for income taxes</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(561)</w:t>
            </w:r>
          </w:p>
        </w:tc>
        <w:tc>
          <w:tcPr>
            <w:tcW w:w="2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(523)</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3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3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340" w:type="dxa"/>
            <w:vAlign w:val="bottom"/>
          </w:tcPr>
          <w:p>
            <w:pPr>
              <w:ind w:left="180"/>
              <w:spacing w:after="0" w:line="178" w:lineRule="exact"/>
              <w:rPr>
                <w:sz w:val="20"/>
                <w:szCs w:val="20"/>
                <w:color w:val="auto"/>
              </w:rPr>
            </w:pPr>
            <w:r>
              <w:rPr>
                <w:rFonts w:ascii="Times New Roman" w:cs="Times New Roman" w:eastAsia="Times New Roman" w:hAnsi="Times New Roman"/>
                <w:sz w:val="16"/>
                <w:szCs w:val="16"/>
                <w:color w:val="auto"/>
              </w:rPr>
              <w:t>Net income (loss)</w:t>
            </w:r>
          </w:p>
        </w:tc>
        <w:tc>
          <w:tcPr>
            <w:tcW w:w="380" w:type="dxa"/>
            <w:vAlign w:val="bottom"/>
          </w:tcPr>
          <w:p>
            <w:pPr>
              <w:spacing w:after="0"/>
              <w:rPr>
                <w:sz w:val="15"/>
                <w:szCs w:val="15"/>
                <w:color w:val="auto"/>
              </w:rPr>
            </w:pPr>
          </w:p>
        </w:tc>
        <w:tc>
          <w:tcPr>
            <w:tcW w:w="14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(654)</w:t>
            </w:r>
          </w:p>
        </w:tc>
        <w:tc>
          <w:tcPr>
            <w:tcW w:w="160" w:type="dxa"/>
            <w:vAlign w:val="bottom"/>
          </w:tcPr>
          <w:p>
            <w:pPr>
              <w:spacing w:after="0"/>
              <w:rPr>
                <w:sz w:val="15"/>
                <w:szCs w:val="15"/>
                <w:color w:val="auto"/>
              </w:rPr>
            </w:pPr>
          </w:p>
        </w:tc>
        <w:tc>
          <w:tcPr>
            <w:tcW w:w="220" w:type="dxa"/>
            <w:vAlign w:val="bottom"/>
          </w:tcPr>
          <w:p>
            <w:pPr>
              <w:jc w:val="right"/>
              <w:ind w:right="6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(736)</w:t>
            </w:r>
          </w:p>
        </w:tc>
        <w:tc>
          <w:tcPr>
            <w:tcW w:w="160" w:type="dxa"/>
            <w:vAlign w:val="bottom"/>
          </w:tcPr>
          <w:p>
            <w:pPr>
              <w:spacing w:after="0"/>
              <w:rPr>
                <w:sz w:val="15"/>
                <w:szCs w:val="15"/>
                <w:color w:val="auto"/>
              </w:rPr>
            </w:pPr>
          </w:p>
        </w:tc>
        <w:tc>
          <w:tcPr>
            <w:tcW w:w="180" w:type="dxa"/>
            <w:vAlign w:val="bottom"/>
          </w:tcPr>
          <w:p>
            <w:pPr>
              <w:jc w:val="right"/>
              <w:ind w:right="2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378</w:t>
            </w:r>
          </w:p>
        </w:tc>
        <w:tc>
          <w:tcPr>
            <w:tcW w:w="160" w:type="dxa"/>
            <w:vAlign w:val="bottom"/>
          </w:tcPr>
          <w:p>
            <w:pPr>
              <w:spacing w:after="0"/>
              <w:rPr>
                <w:sz w:val="15"/>
                <w:szCs w:val="15"/>
                <w:color w:val="auto"/>
              </w:rPr>
            </w:pPr>
          </w:p>
        </w:tc>
        <w:tc>
          <w:tcPr>
            <w:tcW w:w="200" w:type="dxa"/>
            <w:vAlign w:val="bottom"/>
          </w:tcPr>
          <w:p>
            <w:pPr>
              <w:jc w:val="right"/>
              <w:ind w:right="4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(2,319)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3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340" w:type="dxa"/>
            <w:vAlign w:val="bottom"/>
          </w:tcPr>
          <w:p>
            <w:pPr>
              <w:ind w:left="380"/>
              <w:spacing w:after="0" w:line="170" w:lineRule="exact"/>
              <w:rPr>
                <w:sz w:val="20"/>
                <w:szCs w:val="20"/>
                <w:color w:val="auto"/>
              </w:rPr>
            </w:pPr>
            <w:r>
              <w:rPr>
                <w:rFonts w:ascii="Times New Roman" w:cs="Times New Roman" w:eastAsia="Times New Roman" w:hAnsi="Times New Roman"/>
                <w:sz w:val="16"/>
                <w:szCs w:val="16"/>
                <w:color w:val="auto"/>
              </w:rPr>
              <w:t>Net income attributable to Legacy Wentworth Management Services LLC</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members</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3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340" w:type="dxa"/>
            <w:vAlign w:val="bottom"/>
            <w:tcBorders>
              <w:bottom w:val="single" w:sz="8" w:color="CCEEFF"/>
            </w:tcBorders>
          </w:tcPr>
          <w:p>
            <w:pPr>
              <w:ind w:left="180"/>
              <w:spacing w:after="0" w:line="178" w:lineRule="exact"/>
              <w:rPr>
                <w:sz w:val="20"/>
                <w:szCs w:val="20"/>
                <w:color w:val="auto"/>
              </w:rPr>
            </w:pPr>
            <w:r>
              <w:rPr>
                <w:rFonts w:ascii="Times New Roman" w:cs="Times New Roman" w:eastAsia="Times New Roman" w:hAnsi="Times New Roman"/>
                <w:sz w:val="16"/>
                <w:szCs w:val="16"/>
                <w:color w:val="auto"/>
              </w:rPr>
              <w:t>Net income (loss) attributable to Binah Capital Group, Inc.</w:t>
            </w:r>
          </w:p>
        </w:tc>
        <w:tc>
          <w:tcPr>
            <w:tcW w:w="3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(654)</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6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(736)</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378</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(3,049)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3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5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 per share basic and diluted</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(0.04)</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(0.04)</w:t>
            </w: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36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3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Weighted average shares: basic and diluted</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16,602</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308610</wp:posOffset>
            </wp:positionV>
            <wp:extent cx="6306185"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06185" cy="14605"/>
                    </a:xfrm>
                    <a:prstGeom prst="rect">
                      <a:avLst/>
                    </a:prstGeom>
                    <a:noFill/>
                  </pic:spPr>
                </pic:pic>
              </a:graphicData>
            </a:graphic>
          </wp:anchor>
        </w:drawing>
      </w:r>
    </w:p>
    <w:p>
      <w:pPr>
        <w:sectPr>
          <w:pgSz w:w="11900" w:h="16838" w:orient="portrait"/>
          <w:cols w:equalWidth="0" w:num="1">
            <w:col w:w="9920"/>
          </w:cols>
          <w:pgMar w:left="980" w:top="461"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BINAH CAPITAL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INCOME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8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4"/>
          </w:tcPr>
          <w:p>
            <w:pPr>
              <w:jc w:val="right"/>
              <w:ind w:right="85"/>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4"/>
          </w:tcPr>
          <w:p>
            <w:pPr>
              <w:jc w:val="right"/>
              <w:ind w:right="165"/>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r>
      <w:tr>
        <w:trPr>
          <w:trHeight w:val="120"/>
        </w:trPr>
        <w:tc>
          <w:tcPr>
            <w:tcW w:w="58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47"/>
              <w:spacing w:after="0" w:line="120" w:lineRule="exact"/>
              <w:rPr>
                <w:sz w:val="20"/>
                <w:szCs w:val="20"/>
                <w:color w:val="auto"/>
              </w:rPr>
            </w:pPr>
            <w:r>
              <w:rPr>
                <w:rFonts w:ascii="Times New Roman" w:cs="Times New Roman" w:eastAsia="Times New Roman" w:hAnsi="Times New Roman"/>
                <w:sz w:val="12"/>
                <w:szCs w:val="12"/>
                <w:b w:val="1"/>
                <w:bCs w:val="1"/>
                <w:color w:val="auto"/>
              </w:rPr>
              <w:t>2025</w:t>
            </w:r>
          </w:p>
        </w:tc>
        <w:tc>
          <w:tcPr>
            <w:tcW w:w="1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45"/>
              <w:spacing w:after="0" w:line="120" w:lineRule="exact"/>
              <w:rPr>
                <w:sz w:val="20"/>
                <w:szCs w:val="20"/>
                <w:color w:val="auto"/>
              </w:rPr>
            </w:pPr>
            <w:r>
              <w:rPr>
                <w:rFonts w:ascii="Times New Roman" w:cs="Times New Roman" w:eastAsia="Times New Roman" w:hAnsi="Times New Roman"/>
                <w:sz w:val="12"/>
                <w:szCs w:val="12"/>
                <w:b w:val="1"/>
                <w:bCs w:val="1"/>
                <w:color w:val="auto"/>
              </w:rPr>
              <w:t>2024</w:t>
            </w:r>
          </w:p>
        </w:tc>
        <w:tc>
          <w:tcPr>
            <w:tcW w:w="16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247"/>
              <w:spacing w:after="0" w:line="120" w:lineRule="exact"/>
              <w:rPr>
                <w:sz w:val="20"/>
                <w:szCs w:val="20"/>
                <w:color w:val="auto"/>
              </w:rPr>
            </w:pPr>
            <w:r>
              <w:rPr>
                <w:rFonts w:ascii="Times New Roman" w:cs="Times New Roman" w:eastAsia="Times New Roman" w:hAnsi="Times New Roman"/>
                <w:sz w:val="12"/>
                <w:szCs w:val="12"/>
                <w:b w:val="1"/>
                <w:bCs w:val="1"/>
                <w:color w:val="auto"/>
              </w:rPr>
              <w:t>2025</w:t>
            </w:r>
          </w:p>
        </w:tc>
        <w:tc>
          <w:tcPr>
            <w:tcW w:w="1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245"/>
              <w:spacing w:after="0" w:line="120" w:lineRule="exact"/>
              <w:rPr>
                <w:sz w:val="20"/>
                <w:szCs w:val="20"/>
                <w:color w:val="auto"/>
              </w:rPr>
            </w:pPr>
            <w:r>
              <w:rPr>
                <w:rFonts w:ascii="Times New Roman" w:cs="Times New Roman" w:eastAsia="Times New Roman" w:hAnsi="Times New Roman"/>
                <w:sz w:val="12"/>
                <w:szCs w:val="12"/>
                <w:b w:val="1"/>
                <w:bCs w:val="1"/>
                <w:color w:val="auto"/>
              </w:rPr>
              <w:t>2024</w:t>
            </w:r>
          </w:p>
        </w:tc>
      </w:tr>
      <w:tr>
        <w:trPr>
          <w:trHeight w:val="178"/>
        </w:trPr>
        <w:tc>
          <w:tcPr>
            <w:tcW w:w="586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(654)</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(736)</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378</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(3,049)</w:t>
            </w:r>
          </w:p>
        </w:tc>
      </w:tr>
      <w:tr>
        <w:trPr>
          <w:trHeight w:val="187"/>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87"/>
        </w:trPr>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Changes in fair value of interest rate swap</w:t>
            </w: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78"/>
        </w:trPr>
        <w:tc>
          <w:tcPr>
            <w:tcW w:w="5860" w:type="dxa"/>
            <w:vAlign w:val="bottom"/>
            <w:tcBorders>
              <w:bottom w:val="single" w:sz="8" w:color="CCEEFF"/>
            </w:tcBorders>
          </w:tcPr>
          <w:p>
            <w:pPr>
              <w:spacing w:after="0" w:line="178" w:lineRule="exact"/>
              <w:rPr>
                <w:sz w:val="20"/>
                <w:szCs w:val="20"/>
                <w:color w:val="auto"/>
              </w:rPr>
            </w:pPr>
            <w:r>
              <w:rPr>
                <w:rFonts w:ascii="Times New Roman" w:cs="Times New Roman" w:eastAsia="Times New Roman" w:hAnsi="Times New Roman"/>
                <w:sz w:val="16"/>
                <w:szCs w:val="16"/>
                <w:color w:val="auto"/>
              </w:rPr>
              <w:t>Total other comprehensive income (loss)</w:t>
            </w:r>
          </w:p>
        </w:tc>
        <w:tc>
          <w:tcPr>
            <w:tcW w:w="12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(152)</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4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2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(152)</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w:t>
            </w:r>
          </w:p>
        </w:tc>
      </w:tr>
      <w:tr>
        <w:trPr>
          <w:trHeight w:val="178"/>
        </w:trPr>
        <w:tc>
          <w:tcPr>
            <w:tcW w:w="5860" w:type="dxa"/>
            <w:vAlign w:val="bottom"/>
            <w:tcBorders>
              <w:bottom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Comprehensive income (loss)</w:t>
            </w:r>
          </w:p>
        </w:tc>
        <w:tc>
          <w:tcPr>
            <w:tcW w:w="12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(806)</w:t>
            </w:r>
          </w:p>
        </w:tc>
        <w:tc>
          <w:tcPr>
            <w:tcW w:w="1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(736)</w:t>
            </w: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226</w:t>
            </w:r>
          </w:p>
        </w:tc>
        <w:tc>
          <w:tcPr>
            <w:tcW w:w="1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(3,049)</w:t>
            </w:r>
          </w:p>
        </w:tc>
      </w:tr>
      <w:tr>
        <w:trPr>
          <w:trHeight w:val="20"/>
        </w:trPr>
        <w:tc>
          <w:tcPr>
            <w:tcW w:w="5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308610</wp:posOffset>
            </wp:positionV>
            <wp:extent cx="6306185"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06185" cy="14605"/>
                    </a:xfrm>
                    <a:prstGeom prst="rect">
                      <a:avLst/>
                    </a:prstGeom>
                    <a:noFill/>
                  </pic:spPr>
                </pic:pic>
              </a:graphicData>
            </a:graphic>
          </wp:anchor>
        </w:drawing>
      </w:r>
    </w:p>
    <w:p>
      <w:pPr>
        <w:sectPr>
          <w:pgSz w:w="11900" w:h="16838" w:orient="portrait"/>
          <w:cols w:equalWidth="0" w:num="1">
            <w:col w:w="9920"/>
          </w:cols>
          <w:pgMar w:left="980" w:top="461"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6"/>
          <w:szCs w:val="16"/>
          <w:b w:val="1"/>
          <w:bCs w:val="1"/>
          <w:color w:val="auto"/>
        </w:rPr>
        <w:t>BINAH CAPITAL GROUP, INC.</w:t>
      </w:r>
    </w:p>
    <w:p>
      <w:pPr>
        <w:spacing w:after="0" w:line="21"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CHANGES IN STOCKHOLDERS’ EQUITY</w:t>
      </w:r>
    </w:p>
    <w:p>
      <w:pPr>
        <w:spacing w:after="0" w:line="3"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10"/>
          </w:tcPr>
          <w:p>
            <w:pPr>
              <w:ind w:left="60"/>
              <w:spacing w:after="0"/>
              <w:rPr>
                <w:sz w:val="20"/>
                <w:szCs w:val="20"/>
                <w:color w:val="auto"/>
              </w:rPr>
            </w:pPr>
            <w:r>
              <w:rPr>
                <w:rFonts w:ascii="Times New Roman" w:cs="Times New Roman" w:eastAsia="Times New Roman" w:hAnsi="Times New Roman"/>
                <w:sz w:val="12"/>
                <w:szCs w:val="12"/>
                <w:b w:val="1"/>
                <w:bCs w:val="1"/>
                <w:color w:val="auto"/>
              </w:rPr>
              <w:t>For the three and six months ended June 30, 2025</w:t>
            </w: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60" w:type="dxa"/>
            <w:vAlign w:val="bottom"/>
            <w:gridSpan w:val="6"/>
          </w:tcPr>
          <w:p>
            <w:pPr>
              <w:spacing w:after="0" w:line="99" w:lineRule="exact"/>
              <w:rPr>
                <w:sz w:val="20"/>
                <w:szCs w:val="20"/>
                <w:color w:val="auto"/>
              </w:rPr>
            </w:pPr>
            <w:r>
              <w:rPr>
                <w:rFonts w:ascii="Times New Roman" w:cs="Times New Roman" w:eastAsia="Times New Roman" w:hAnsi="Times New Roman"/>
                <w:sz w:val="11"/>
                <w:szCs w:val="11"/>
                <w:b w:val="1"/>
                <w:bCs w:val="1"/>
                <w:color w:val="auto"/>
              </w:rPr>
              <w:t>Class A Redeemable Convertible</w:t>
            </w:r>
          </w:p>
        </w:tc>
        <w:tc>
          <w:tcPr>
            <w:tcW w:w="1220" w:type="dxa"/>
            <w:vAlign w:val="bottom"/>
            <w:gridSpan w:val="5"/>
          </w:tcPr>
          <w:p>
            <w:pPr>
              <w:jc w:val="center"/>
              <w:ind w:right="140"/>
              <w:spacing w:after="0" w:line="99" w:lineRule="exact"/>
              <w:rPr>
                <w:sz w:val="20"/>
                <w:szCs w:val="20"/>
                <w:color w:val="auto"/>
              </w:rPr>
            </w:pPr>
            <w:r>
              <w:rPr>
                <w:rFonts w:ascii="Times New Roman" w:cs="Times New Roman" w:eastAsia="Times New Roman" w:hAnsi="Times New Roman"/>
                <w:sz w:val="11"/>
                <w:szCs w:val="11"/>
                <w:b w:val="1"/>
                <w:bCs w:val="1"/>
                <w:color w:val="auto"/>
              </w:rPr>
              <w:t>Class B Convertible</w:t>
            </w: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5"/>
          </w:tcPr>
          <w:p>
            <w:pPr>
              <w:ind w:left="280"/>
              <w:spacing w:after="0"/>
              <w:rPr>
                <w:sz w:val="20"/>
                <w:szCs w:val="20"/>
                <w:color w:val="auto"/>
              </w:rPr>
            </w:pPr>
            <w:r>
              <w:rPr>
                <w:rFonts w:ascii="Times New Roman" w:cs="Times New Roman" w:eastAsia="Times New Roman" w:hAnsi="Times New Roman"/>
                <w:sz w:val="12"/>
                <w:szCs w:val="12"/>
                <w:b w:val="1"/>
                <w:bCs w:val="1"/>
                <w:color w:val="auto"/>
              </w:rPr>
              <w:t>Preferred Stock</w:t>
            </w:r>
          </w:p>
        </w:tc>
        <w:tc>
          <w:tcPr>
            <w:tcW w:w="1220" w:type="dxa"/>
            <w:vAlign w:val="bottom"/>
            <w:gridSpan w:val="5"/>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Preferred Stock</w:t>
            </w:r>
          </w:p>
        </w:tc>
        <w:tc>
          <w:tcPr>
            <w:tcW w:w="980" w:type="dxa"/>
            <w:vAlign w:val="bottom"/>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720" w:type="dxa"/>
            <w:vAlign w:val="bottom"/>
            <w:gridSpan w:val="3"/>
          </w:tcPr>
          <w:p>
            <w:pPr>
              <w:ind w:left="60"/>
              <w:spacing w:after="0" w:line="129" w:lineRule="exact"/>
              <w:rPr>
                <w:sz w:val="20"/>
                <w:szCs w:val="20"/>
                <w:color w:val="auto"/>
              </w:rPr>
            </w:pPr>
            <w:r>
              <w:rPr>
                <w:rFonts w:ascii="Times New Roman" w:cs="Times New Roman" w:eastAsia="Times New Roman" w:hAnsi="Times New Roman"/>
                <w:sz w:val="12"/>
                <w:szCs w:val="12"/>
                <w:b w:val="1"/>
                <w:bCs w:val="1"/>
                <w:color w:val="auto"/>
              </w:rPr>
              <w:t>Stockholder</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4"/>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Additional Paid-in</w:t>
            </w:r>
          </w:p>
        </w:tc>
        <w:tc>
          <w:tcPr>
            <w:tcW w:w="820" w:type="dxa"/>
            <w:vAlign w:val="bottom"/>
            <w:gridSpan w:val="4"/>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2"/>
                <w:szCs w:val="12"/>
                <w:b w:val="1"/>
                <w:bCs w:val="1"/>
                <w:color w:val="auto"/>
              </w:rPr>
              <w:t>Other</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rPr>
              <w:t>Equity and</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ind w:right="198"/>
              <w:spacing w:after="0"/>
              <w:rPr>
                <w:sz w:val="20"/>
                <w:szCs w:val="20"/>
                <w:color w:val="auto"/>
              </w:rPr>
            </w:pPr>
            <w:r>
              <w:rPr>
                <w:rFonts w:ascii="Times New Roman" w:cs="Times New Roman" w:eastAsia="Times New Roman" w:hAnsi="Times New Roman"/>
                <w:sz w:val="12"/>
                <w:szCs w:val="12"/>
                <w:b w:val="1"/>
                <w:bCs w:val="1"/>
                <w:color w:val="auto"/>
              </w:rPr>
              <w:t>Units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420" w:type="dxa"/>
            <w:vAlign w:val="bottom"/>
            <w:vMerge w:val="restart"/>
          </w:tcPr>
          <w:p>
            <w:pPr>
              <w:jc w:val="right"/>
              <w:ind w:right="18"/>
              <w:spacing w:after="0"/>
              <w:rPr>
                <w:sz w:val="20"/>
                <w:szCs w:val="20"/>
                <w:color w:val="auto"/>
              </w:rPr>
            </w:pPr>
            <w:r>
              <w:rPr>
                <w:rFonts w:ascii="Times New Roman" w:cs="Times New Roman" w:eastAsia="Times New Roman" w:hAnsi="Times New Roman"/>
                <w:sz w:val="12"/>
                <w:szCs w:val="12"/>
                <w:b w:val="1"/>
                <w:bCs w:val="1"/>
                <w:color w:val="auto"/>
              </w:rPr>
              <w:t>Units</w:t>
            </w:r>
          </w:p>
        </w:tc>
        <w:tc>
          <w:tcPr>
            <w:tcW w:w="120" w:type="dxa"/>
            <w:vAlign w:val="bottom"/>
          </w:tcPr>
          <w:p>
            <w:pPr>
              <w:spacing w:after="0"/>
              <w:rPr>
                <w:sz w:val="11"/>
                <w:szCs w:val="11"/>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Units</w:t>
            </w:r>
          </w:p>
        </w:tc>
        <w:tc>
          <w:tcPr>
            <w:tcW w:w="140" w:type="dxa"/>
            <w:vAlign w:val="bottom"/>
          </w:tcPr>
          <w:p>
            <w:pPr>
              <w:spacing w:after="0"/>
              <w:rPr>
                <w:sz w:val="11"/>
                <w:szCs w:val="11"/>
                <w:color w:val="auto"/>
              </w:rPr>
            </w:pPr>
          </w:p>
        </w:tc>
        <w:tc>
          <w:tcPr>
            <w:tcW w:w="4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180" w:type="dxa"/>
            <w:vAlign w:val="bottom"/>
            <w:gridSpan w:val="4"/>
            <w:vMerge w:val="continue"/>
          </w:tcPr>
          <w:p>
            <w:pPr>
              <w:spacing w:after="0"/>
              <w:rPr>
                <w:sz w:val="11"/>
                <w:szCs w:val="11"/>
                <w:color w:val="auto"/>
              </w:rPr>
            </w:pPr>
          </w:p>
        </w:tc>
        <w:tc>
          <w:tcPr>
            <w:tcW w:w="820" w:type="dxa"/>
            <w:vAlign w:val="bottom"/>
            <w:gridSpan w:val="4"/>
            <w:vMerge w:val="continue"/>
          </w:tcPr>
          <w:p>
            <w:pPr>
              <w:spacing w:after="0"/>
              <w:rPr>
                <w:sz w:val="11"/>
                <w:szCs w:val="11"/>
                <w:color w:val="auto"/>
              </w:rPr>
            </w:pPr>
          </w:p>
        </w:tc>
        <w:tc>
          <w:tcPr>
            <w:tcW w:w="940" w:type="dxa"/>
            <w:vAlign w:val="bottom"/>
            <w:gridSpan w:val="4"/>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rPr>
              <w:t>Mezzanine</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3"/>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60" w:type="dxa"/>
            <w:vAlign w:val="bottom"/>
          </w:tcPr>
          <w:p>
            <w:pPr>
              <w:spacing w:after="0"/>
              <w:rPr>
                <w:sz w:val="13"/>
                <w:szCs w:val="13"/>
                <w:color w:val="auto"/>
              </w:rPr>
            </w:pPr>
          </w:p>
        </w:tc>
        <w:tc>
          <w:tcPr>
            <w:tcW w:w="880" w:type="dxa"/>
            <w:vAlign w:val="bottom"/>
            <w:gridSpan w:val="3"/>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3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30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Balance January 1, 2025</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1,555</w:t>
            </w:r>
          </w:p>
        </w:tc>
        <w:tc>
          <w:tcPr>
            <w:tcW w:w="260" w:type="dxa"/>
            <w:vAlign w:val="bottom"/>
            <w:gridSpan w:val="2"/>
            <w:shd w:val="clear" w:color="auto" w:fill="CCEEFF"/>
          </w:tcPr>
          <w:p>
            <w:pPr>
              <w:jc w:val="right"/>
              <w:ind w:right="3"/>
              <w:spacing w:after="0" w:line="129"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14,947</w:t>
            </w: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150</w:t>
            </w:r>
          </w:p>
        </w:tc>
        <w:tc>
          <w:tcPr>
            <w:tcW w:w="24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1,500</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w w:val="96"/>
              </w:rPr>
              <w:t>16,603</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300" w:type="dxa"/>
            <w:vAlign w:val="bottom"/>
            <w:gridSpan w:val="2"/>
            <w:shd w:val="clear" w:color="auto" w:fill="CCEEFF"/>
          </w:tcPr>
          <w:p>
            <w:pPr>
              <w:ind w:lef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22,984</w:t>
            </w:r>
          </w:p>
        </w:tc>
        <w:tc>
          <w:tcPr>
            <w:tcW w:w="80" w:type="dxa"/>
            <w:vAlign w:val="bottom"/>
            <w:shd w:val="clear" w:color="auto" w:fill="CCEEFF"/>
          </w:tcPr>
          <w:p>
            <w:pPr>
              <w:spacing w:after="0"/>
              <w:rPr>
                <w:sz w:val="11"/>
                <w:szCs w:val="11"/>
                <w:color w:val="auto"/>
              </w:rPr>
            </w:pPr>
          </w:p>
        </w:tc>
        <w:tc>
          <w:tcPr>
            <w:tcW w:w="160" w:type="dxa"/>
            <w:vAlign w:val="bottom"/>
            <w:gridSpan w:val="2"/>
            <w:shd w:val="clear" w:color="auto" w:fill="CCEEFF"/>
          </w:tcPr>
          <w:p>
            <w:pPr>
              <w:ind w:left="40"/>
              <w:spacing w:after="0" w:line="129"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(23,253)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16,178</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3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30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Issuance of Class A redeemable convertible preferred stock</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17</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174</w:t>
            </w: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174</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3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30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Dividends - Class A redeemable convertible preferred stock</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(351)</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(351</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3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30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Dividends - Class B convertible preferred stock</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(27)</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(27</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3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30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Net income</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1,033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1,033</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3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30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Balance, March 31, 2025</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1,572</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15,121</w:t>
            </w: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150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1,500</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w w:val="96"/>
              </w:rPr>
              <w:t>16,603</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22,606</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(22,220)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17,007</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3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30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Issuance of Class A redeemable convertible preferred stock</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18</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179</w:t>
            </w: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179</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3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30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Dividends - Class A redeemable convertible preferred stock</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(358)</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(358</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3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30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Dividends - Class B convertible preferred stock</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(27)</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(27</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3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30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Share based compensation</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108</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392</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392</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3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30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Change in value of interest rate swap</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(152)</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(152</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3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30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Net loss</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(654)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(654</w:t>
            </w:r>
          </w:p>
        </w:tc>
        <w:tc>
          <w:tcPr>
            <w:tcW w:w="0" w:type="dxa"/>
            <w:vAlign w:val="bottom"/>
          </w:tcPr>
          <w:p>
            <w:pPr>
              <w:spacing w:after="0"/>
              <w:rPr>
                <w:sz w:val="1"/>
                <w:szCs w:val="1"/>
                <w:color w:val="auto"/>
              </w:rPr>
            </w:pPr>
          </w:p>
        </w:tc>
      </w:tr>
      <w:tr>
        <w:trPr>
          <w:trHeight w:val="128"/>
        </w:trPr>
        <w:tc>
          <w:tcPr>
            <w:tcW w:w="306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40" w:type="dxa"/>
            <w:vAlign w:val="bottom"/>
            <w:tcBorders>
              <w:top w:val="single" w:sz="8" w:color="CCEEFF"/>
              <w:bottom w:val="single" w:sz="8" w:color="CCEEFF"/>
            </w:tcBorders>
            <w:shd w:val="clear" w:color="auto" w:fill="CCEEFF"/>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Balance, June 30, 2025</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1,590</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jc w:val="right"/>
              <w:ind w:right="3"/>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15,300</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42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150</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1,500</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38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w w:val="96"/>
              </w:rPr>
              <w:t>16,711</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w:t>
            </w:r>
          </w:p>
        </w:tc>
        <w:tc>
          <w:tcPr>
            <w:tcW w:w="300" w:type="dxa"/>
            <w:vAlign w:val="bottom"/>
            <w:tcBorders>
              <w:top w:val="single" w:sz="8" w:color="auto"/>
              <w:bottom w:val="single" w:sz="8" w:color="auto"/>
            </w:tcBorders>
            <w:shd w:val="clear" w:color="auto" w:fill="CCEEFF"/>
          </w:tcPr>
          <w:p>
            <w:pPr>
              <w:ind w:left="120"/>
              <w:spacing w:after="0" w:line="120"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w:t>
            </w:r>
          </w:p>
        </w:tc>
        <w:tc>
          <w:tcPr>
            <w:tcW w:w="80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22,613</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(22,874)</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jc w:val="right"/>
              <w:ind w:right="40"/>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(152)</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16,387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308610</wp:posOffset>
            </wp:positionV>
            <wp:extent cx="6498590" cy="14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98590" cy="14605"/>
                    </a:xfrm>
                    <a:prstGeom prst="rect">
                      <a:avLst/>
                    </a:prstGeom>
                    <a:noFill/>
                  </pic:spPr>
                </pic:pic>
              </a:graphicData>
            </a:graphic>
          </wp:anchor>
        </w:drawing>
      </w:r>
    </w:p>
    <w:p>
      <w:pPr>
        <w:sectPr>
          <w:pgSz w:w="11900" w:h="16838" w:orient="portrait"/>
          <w:cols w:equalWidth="0" w:num="1">
            <w:col w:w="10840"/>
          </w:cols>
          <w:pgMar w:left="820" w:top="461"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3420" w:type="dxa"/>
            <w:vAlign w:val="bottom"/>
            <w:tcBorders>
              <w:bottom w:val="single" w:sz="8" w:color="auto"/>
            </w:tcBorders>
            <w:gridSpan w:val="12"/>
          </w:tcPr>
          <w:p>
            <w:pPr>
              <w:ind w:left="40"/>
              <w:spacing w:after="0"/>
              <w:rPr>
                <w:sz w:val="20"/>
                <w:szCs w:val="20"/>
                <w:color w:val="auto"/>
              </w:rPr>
            </w:pPr>
            <w:r>
              <w:rPr>
                <w:rFonts w:ascii="Times New Roman" w:cs="Times New Roman" w:eastAsia="Times New Roman" w:hAnsi="Times New Roman"/>
                <w:sz w:val="12"/>
                <w:szCs w:val="12"/>
                <w:b w:val="1"/>
                <w:bCs w:val="1"/>
                <w:color w:val="auto"/>
              </w:rPr>
              <w:t>For the Three and Six Months Ended June 30, 2024</w:t>
            </w: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20" w:type="dxa"/>
            <w:vAlign w:val="bottom"/>
            <w:gridSpan w:val="6"/>
          </w:tcPr>
          <w:p>
            <w:pPr>
              <w:ind w:left="60"/>
              <w:spacing w:after="0" w:line="120" w:lineRule="exact"/>
              <w:rPr>
                <w:sz w:val="20"/>
                <w:szCs w:val="20"/>
                <w:color w:val="auto"/>
              </w:rPr>
            </w:pPr>
            <w:r>
              <w:rPr>
                <w:rFonts w:ascii="Times New Roman" w:cs="Times New Roman" w:eastAsia="Times New Roman" w:hAnsi="Times New Roman"/>
                <w:sz w:val="12"/>
                <w:szCs w:val="12"/>
                <w:b w:val="1"/>
                <w:bCs w:val="1"/>
                <w:color w:val="auto"/>
              </w:rPr>
              <w:t>Redeemable Convertible Preferred Stock</w:t>
            </w:r>
          </w:p>
        </w:tc>
        <w:tc>
          <w:tcPr>
            <w:tcW w:w="1000" w:type="dxa"/>
            <w:vAlign w:val="bottom"/>
            <w:gridSpan w:val="4"/>
          </w:tcPr>
          <w:p>
            <w:pPr>
              <w:ind w:left="100"/>
              <w:spacing w:after="0" w:line="120" w:lineRule="exact"/>
              <w:rPr>
                <w:sz w:val="20"/>
                <w:szCs w:val="20"/>
                <w:color w:val="auto"/>
              </w:rPr>
            </w:pPr>
            <w:r>
              <w:rPr>
                <w:rFonts w:ascii="Times New Roman" w:cs="Times New Roman" w:eastAsia="Times New Roman" w:hAnsi="Times New Roman"/>
                <w:sz w:val="12"/>
                <w:szCs w:val="12"/>
                <w:b w:val="1"/>
                <w:bCs w:val="1"/>
                <w:color w:val="auto"/>
              </w:rPr>
              <w:t>Common Stock</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4"/>
          </w:tcPr>
          <w:p>
            <w:pPr>
              <w:ind w:left="60"/>
              <w:spacing w:after="0" w:line="129"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Equity Attributed to</w:t>
            </w: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60"/>
              <w:spacing w:after="0" w:line="129" w:lineRule="exact"/>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2"/>
                <w:szCs w:val="12"/>
                <w:b w:val="1"/>
                <w:bCs w:val="1"/>
                <w:color w:val="auto"/>
              </w:rPr>
              <w:t>Mezzanine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2"/>
                <w:szCs w:val="12"/>
                <w:b w:val="1"/>
                <w:bCs w:val="1"/>
                <w:color w:val="auto"/>
              </w:rPr>
              <w:t>Legacy Wentworth</w:t>
            </w: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gridSpan w:val="4"/>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Additional Paid-</w:t>
            </w:r>
          </w:p>
        </w:tc>
        <w:tc>
          <w:tcPr>
            <w:tcW w:w="8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2"/>
                <w:szCs w:val="12"/>
                <w:b w:val="1"/>
                <w:bCs w:val="1"/>
                <w:color w:val="auto"/>
              </w:rPr>
              <w:t>Equity and</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300" w:type="dxa"/>
            <w:vAlign w:val="bottom"/>
            <w:gridSpan w:val="4"/>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rPr>
              <w:t>Management Services</w:t>
            </w:r>
          </w:p>
        </w:tc>
        <w:tc>
          <w:tcPr>
            <w:tcW w:w="60" w:type="dxa"/>
            <w:vAlign w:val="bottom"/>
          </w:tcPr>
          <w:p>
            <w:pPr>
              <w:spacing w:after="0"/>
              <w:rPr>
                <w:sz w:val="11"/>
                <w:szCs w:val="11"/>
                <w:color w:val="auto"/>
              </w:rPr>
            </w:pPr>
          </w:p>
        </w:tc>
        <w:tc>
          <w:tcPr>
            <w:tcW w:w="920" w:type="dxa"/>
            <w:vAlign w:val="bottom"/>
            <w:vMerge w:val="restart"/>
          </w:tcPr>
          <w:p>
            <w:pPr>
              <w:jc w:val="right"/>
              <w:ind w:right="258"/>
              <w:spacing w:after="0"/>
              <w:rPr>
                <w:sz w:val="20"/>
                <w:szCs w:val="20"/>
                <w:color w:val="auto"/>
              </w:rPr>
            </w:pPr>
            <w:r>
              <w:rPr>
                <w:rFonts w:ascii="Times New Roman" w:cs="Times New Roman" w:eastAsia="Times New Roman" w:hAnsi="Times New Roman"/>
                <w:sz w:val="12"/>
                <w:szCs w:val="12"/>
                <w:b w:val="1"/>
                <w:bCs w:val="1"/>
                <w:color w:val="auto"/>
              </w:rPr>
              <w:t>Units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Units</w:t>
            </w:r>
          </w:p>
        </w:tc>
        <w:tc>
          <w:tcPr>
            <w:tcW w:w="140" w:type="dxa"/>
            <w:vAlign w:val="bottom"/>
          </w:tcPr>
          <w:p>
            <w:pPr>
              <w:spacing w:after="0"/>
              <w:rPr>
                <w:sz w:val="11"/>
                <w:szCs w:val="11"/>
                <w:color w:val="auto"/>
              </w:rPr>
            </w:pPr>
          </w:p>
        </w:tc>
        <w:tc>
          <w:tcPr>
            <w:tcW w:w="4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80" w:type="dxa"/>
            <w:vAlign w:val="bottom"/>
            <w:gridSpan w:val="4"/>
            <w:vMerge w:val="continue"/>
          </w:tcPr>
          <w:p>
            <w:pPr>
              <w:spacing w:after="0"/>
              <w:rPr>
                <w:sz w:val="11"/>
                <w:szCs w:val="11"/>
                <w:color w:val="auto"/>
              </w:rPr>
            </w:pPr>
          </w:p>
        </w:tc>
        <w:tc>
          <w:tcPr>
            <w:tcW w:w="820" w:type="dxa"/>
            <w:vAlign w:val="bottom"/>
            <w:gridSpan w:val="4"/>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2"/>
                <w:szCs w:val="12"/>
                <w:b w:val="1"/>
                <w:bCs w:val="1"/>
                <w:color w:val="auto"/>
              </w:rPr>
              <w:t>Members’</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LLC</w:t>
            </w:r>
          </w:p>
        </w:tc>
        <w:tc>
          <w:tcPr>
            <w:tcW w:w="6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in Capital</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3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33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Balance January 1, 2024</w:t>
            </w:r>
          </w:p>
        </w:tc>
        <w:tc>
          <w:tcPr>
            <w:tcW w:w="14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5,103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360" w:type="dxa"/>
            <w:vAlign w:val="bottom"/>
            <w:gridSpan w:val="2"/>
            <w:shd w:val="clear" w:color="auto" w:fill="CCEEFF"/>
          </w:tcPr>
          <w:p>
            <w:pPr>
              <w:jc w:val="right"/>
              <w:ind w:right="63"/>
              <w:spacing w:after="0" w:line="129" w:lineRule="exact"/>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shd w:val="clear" w:color="auto" w:fill="CCEEFF"/>
          </w:tcPr>
          <w:p>
            <w:pPr>
              <w:jc w:val="right"/>
              <w:ind w:right="1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shd w:val="clear" w:color="auto" w:fill="CCEEFF"/>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shd w:val="clear" w:color="auto" w:fill="CCEEFF"/>
          </w:tcPr>
          <w:p>
            <w:pPr>
              <w:ind w:lef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5,103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3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33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Distributions</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(85)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(85)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3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33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Net income prior to transaction</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730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730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3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vMerge w:val="continue"/>
          </w:tcPr>
          <w:p>
            <w:pPr>
              <w:spacing w:after="0"/>
              <w:rPr>
                <w:sz w:val="9"/>
                <w:szCs w:val="9"/>
                <w:color w:val="auto"/>
              </w:rPr>
            </w:pPr>
          </w:p>
        </w:tc>
        <w:tc>
          <w:tcPr>
            <w:tcW w:w="3360" w:type="dxa"/>
            <w:vAlign w:val="bottom"/>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Reverse merger and recapitalization of legacy Wentworth</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(5,748)</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16,566</w:t>
            </w: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8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23,693</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(17,961)</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Management Services LLC</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vMerge w:val="continue"/>
            <w:shd w:val="clear" w:color="auto" w:fill="CCEEFF"/>
          </w:tcPr>
          <w:p>
            <w:pPr>
              <w:spacing w:after="0"/>
              <w:rPr>
                <w:sz w:val="12"/>
                <w:szCs w:val="12"/>
                <w:color w:val="auto"/>
              </w:rPr>
            </w:pPr>
          </w:p>
        </w:tc>
        <w:tc>
          <w:tcPr>
            <w:tcW w:w="40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3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vMerge w:val="continue"/>
          </w:tcPr>
          <w:p>
            <w:pPr>
              <w:spacing w:after="0"/>
              <w:rPr>
                <w:sz w:val="9"/>
                <w:szCs w:val="9"/>
                <w:color w:val="auto"/>
              </w:rPr>
            </w:pPr>
          </w:p>
        </w:tc>
        <w:tc>
          <w:tcPr>
            <w:tcW w:w="3360" w:type="dxa"/>
            <w:vAlign w:val="bottom"/>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Mezzanine Equity - Shares Issued in connection with PIPE</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1,500</w:t>
            </w:r>
          </w:p>
        </w:tc>
        <w:tc>
          <w:tcPr>
            <w:tcW w:w="1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14,400</w:t>
            </w:r>
          </w:p>
        </w:tc>
        <w:tc>
          <w:tcPr>
            <w:tcW w:w="12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8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14,400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financing</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vMerge w:val="continue"/>
            <w:shd w:val="clear" w:color="auto" w:fill="CCEEFF"/>
          </w:tcPr>
          <w:p>
            <w:pPr>
              <w:spacing w:after="0"/>
              <w:rPr>
                <w:sz w:val="12"/>
                <w:szCs w:val="12"/>
                <w:color w:val="auto"/>
              </w:rPr>
            </w:pPr>
          </w:p>
        </w:tc>
        <w:tc>
          <w:tcPr>
            <w:tcW w:w="98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3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33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Net loss attributable to Binah Capital Group post transaction</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(2,319)</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(2,319)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3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33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Balance March 31, 2024</w:t>
            </w:r>
          </w:p>
        </w:tc>
        <w:tc>
          <w:tcPr>
            <w:tcW w:w="14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1,500</w:t>
            </w:r>
          </w:p>
        </w:tc>
        <w:tc>
          <w:tcPr>
            <w:tcW w:w="360" w:type="dxa"/>
            <w:vAlign w:val="bottom"/>
            <w:gridSpan w:val="2"/>
            <w:shd w:val="clear" w:color="auto" w:fill="CCEEFF"/>
          </w:tcPr>
          <w:p>
            <w:pPr>
              <w:jc w:val="right"/>
              <w:ind w:right="63"/>
              <w:spacing w:after="0" w:line="129"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14,400</w:t>
            </w: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16,566</w:t>
            </w:r>
          </w:p>
        </w:tc>
        <w:tc>
          <w:tcPr>
            <w:tcW w:w="320" w:type="dxa"/>
            <w:vAlign w:val="bottom"/>
            <w:gridSpan w:val="2"/>
            <w:shd w:val="clear" w:color="auto" w:fill="CCEEFF"/>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shd w:val="clear" w:color="auto" w:fill="CCEEFF"/>
          </w:tcPr>
          <w:p>
            <w:pPr>
              <w:ind w:lef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23,693</w:t>
            </w:r>
          </w:p>
        </w:tc>
        <w:tc>
          <w:tcPr>
            <w:tcW w:w="8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(20,272)</w:t>
            </w:r>
          </w:p>
        </w:tc>
        <w:tc>
          <w:tcPr>
            <w:tcW w:w="60" w:type="dxa"/>
            <w:vAlign w:val="bottom"/>
            <w:shd w:val="clear" w:color="auto" w:fill="CCEEFF"/>
          </w:tcPr>
          <w:p>
            <w:pPr>
              <w:spacing w:after="0"/>
              <w:rPr>
                <w:sz w:val="11"/>
                <w:szCs w:val="11"/>
                <w:color w:val="auto"/>
              </w:rPr>
            </w:pPr>
          </w:p>
        </w:tc>
        <w:tc>
          <w:tcPr>
            <w:tcW w:w="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17,813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3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33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Issuance of redeemable convertible preferred stock</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20</w:t>
            </w: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195</w:t>
            </w: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195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3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33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Dividends - redeemable convertible preferred stock</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(390)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(390)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3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33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Issuance of common stock in connection with exercise of warrants</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37</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416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416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3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33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Net Loss</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(736)</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(736)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38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60" w:type="dxa"/>
            <w:vAlign w:val="bottom"/>
            <w:tcBorders>
              <w:top w:val="single" w:sz="8" w:color="CCEEFF"/>
              <w:bottom w:val="single" w:sz="8" w:color="CCEEFF"/>
            </w:tcBorders>
            <w:shd w:val="clear" w:color="auto" w:fill="CCEEFF"/>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Balance June 30, 2024</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108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92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1,520</w:t>
            </w: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jc w:val="right"/>
              <w:ind w:right="63"/>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14,595</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40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16,603</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jc w:val="right"/>
              <w:ind w:right="60"/>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bottom w:val="single" w:sz="8" w:color="auto"/>
            </w:tcBorders>
            <w:shd w:val="clear" w:color="auto" w:fill="CCEEFF"/>
          </w:tcPr>
          <w:p>
            <w:pPr>
              <w:ind w:left="100"/>
              <w:spacing w:after="0" w:line="12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23,719</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(21,017)</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17,297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308610</wp:posOffset>
            </wp:positionV>
            <wp:extent cx="6498590" cy="14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98590" cy="14605"/>
                    </a:xfrm>
                    <a:prstGeom prst="rect">
                      <a:avLst/>
                    </a:prstGeom>
                    <a:noFill/>
                  </pic:spPr>
                </pic:pic>
              </a:graphicData>
            </a:graphic>
          </wp:anchor>
        </w:drawing>
      </w:r>
    </w:p>
    <w:p>
      <w:pPr>
        <w:sectPr>
          <w:pgSz w:w="11900" w:h="16838" w:orient="portrait"/>
          <w:cols w:equalWidth="0" w:num="1">
            <w:col w:w="10700"/>
          </w:cols>
          <w:pgMar w:left="820" w:top="46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BINAH CAPITAL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7340" w:type="dxa"/>
            <w:vAlign w:val="bottom"/>
          </w:tcPr>
          <w:p>
            <w:pPr>
              <w:spacing w:after="0"/>
              <w:rPr>
                <w:sz w:val="13"/>
                <w:szCs w:val="13"/>
                <w:color w:val="auto"/>
              </w:rPr>
            </w:pPr>
          </w:p>
        </w:tc>
        <w:tc>
          <w:tcPr>
            <w:tcW w:w="22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For the six months ended June 30,</w:t>
            </w:r>
          </w:p>
        </w:tc>
        <w:tc>
          <w:tcPr>
            <w:tcW w:w="3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7340" w:type="dxa"/>
            <w:vAlign w:val="bottom"/>
            <w:tcBorders>
              <w:bottom w:val="single" w:sz="8" w:color="CCEEFF"/>
            </w:tcBorders>
          </w:tcPr>
          <w:p>
            <w:pPr>
              <w:spacing w:after="0"/>
              <w:rPr>
                <w:sz w:val="10"/>
                <w:szCs w:val="10"/>
                <w:color w:val="auto"/>
              </w:rPr>
            </w:pPr>
          </w:p>
        </w:tc>
        <w:tc>
          <w:tcPr>
            <w:tcW w:w="760" w:type="dxa"/>
            <w:vAlign w:val="bottom"/>
            <w:tcBorders>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2025</w:t>
            </w:r>
          </w:p>
        </w:tc>
        <w:tc>
          <w:tcPr>
            <w:tcW w:w="420" w:type="dxa"/>
            <w:vAlign w:val="bottom"/>
            <w:tcBorders>
              <w:bottom w:val="single" w:sz="8" w:color="auto"/>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800" w:type="dxa"/>
            <w:vAlign w:val="bottom"/>
            <w:tcBorders>
              <w:bottom w:val="single" w:sz="8" w:color="auto"/>
            </w:tcBorders>
          </w:tcPr>
          <w:p>
            <w:pPr>
              <w:jc w:val="right"/>
              <w:ind w:right="22"/>
              <w:spacing w:after="0" w:line="120" w:lineRule="exact"/>
              <w:rPr>
                <w:sz w:val="20"/>
                <w:szCs w:val="20"/>
                <w:color w:val="auto"/>
              </w:rPr>
            </w:pPr>
            <w:r>
              <w:rPr>
                <w:rFonts w:ascii="Times New Roman" w:cs="Times New Roman" w:eastAsia="Times New Roman" w:hAnsi="Times New Roman"/>
                <w:sz w:val="12"/>
                <w:szCs w:val="12"/>
                <w:b w:val="1"/>
                <w:bCs w:val="1"/>
                <w:color w:val="auto"/>
              </w:rPr>
              <w:t>2024</w:t>
            </w:r>
          </w:p>
        </w:tc>
        <w:tc>
          <w:tcPr>
            <w:tcW w:w="3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734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7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7340" w:type="dxa"/>
            <w:vAlign w:val="bottom"/>
          </w:tcPr>
          <w:p>
            <w:pPr>
              <w:ind w:left="180"/>
              <w:spacing w:after="0" w:line="129" w:lineRule="exact"/>
              <w:rPr>
                <w:sz w:val="20"/>
                <w:szCs w:val="20"/>
                <w:color w:val="auto"/>
              </w:rPr>
            </w:pPr>
            <w:r>
              <w:rPr>
                <w:rFonts w:ascii="Times New Roman" w:cs="Times New Roman" w:eastAsia="Times New Roman" w:hAnsi="Times New Roman"/>
                <w:sz w:val="12"/>
                <w:szCs w:val="12"/>
                <w:color w:val="auto"/>
              </w:rPr>
              <w:t>Net income (loss)</w:t>
            </w:r>
          </w:p>
        </w:tc>
        <w:tc>
          <w:tcPr>
            <w:tcW w:w="760" w:type="dxa"/>
            <w:vAlign w:val="bottom"/>
          </w:tcPr>
          <w:p>
            <w:pPr>
              <w:jc w:val="right"/>
              <w:ind w:right="641"/>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378</w:t>
            </w:r>
          </w:p>
        </w:tc>
        <w:tc>
          <w:tcPr>
            <w:tcW w:w="220" w:type="dxa"/>
            <w:vAlign w:val="bottom"/>
          </w:tcPr>
          <w:p>
            <w:pPr>
              <w:spacing w:after="0"/>
              <w:rPr>
                <w:sz w:val="11"/>
                <w:szCs w:val="11"/>
                <w:color w:val="auto"/>
              </w:rPr>
            </w:pPr>
          </w:p>
        </w:tc>
        <w:tc>
          <w:tcPr>
            <w:tcW w:w="800" w:type="dxa"/>
            <w:vAlign w:val="bottom"/>
          </w:tcPr>
          <w:p>
            <w:pPr>
              <w:jc w:val="right"/>
              <w:ind w:right="682"/>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(2,319)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340" w:type="dxa"/>
            <w:vAlign w:val="bottom"/>
            <w:shd w:val="clear" w:color="auto" w:fill="CCEEFF"/>
          </w:tcPr>
          <w:p>
            <w:pPr>
              <w:ind w:left="180"/>
              <w:spacing w:after="0" w:line="129" w:lineRule="exact"/>
              <w:rPr>
                <w:sz w:val="20"/>
                <w:szCs w:val="20"/>
                <w:color w:val="auto"/>
              </w:rPr>
            </w:pPr>
            <w:r>
              <w:rPr>
                <w:rFonts w:ascii="Times New Roman" w:cs="Times New Roman" w:eastAsia="Times New Roman" w:hAnsi="Times New Roman"/>
                <w:sz w:val="12"/>
                <w:szCs w:val="12"/>
                <w:color w:val="auto"/>
              </w:rPr>
              <w:t>Adjustments to reconcile net income (loss) to net cash provided by (used in) operating activities:</w:t>
            </w:r>
          </w:p>
        </w:tc>
        <w:tc>
          <w:tcPr>
            <w:tcW w:w="7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340" w:type="dxa"/>
            <w:vAlign w:val="bottom"/>
          </w:tcPr>
          <w:p>
            <w:pPr>
              <w:ind w:left="280"/>
              <w:spacing w:after="0" w:line="129" w:lineRule="exact"/>
              <w:rPr>
                <w:sz w:val="20"/>
                <w:szCs w:val="20"/>
                <w:color w:val="auto"/>
              </w:rPr>
            </w:pPr>
            <w:r>
              <w:rPr>
                <w:rFonts w:ascii="Times New Roman" w:cs="Times New Roman" w:eastAsia="Times New Roman" w:hAnsi="Times New Roman"/>
                <w:sz w:val="12"/>
                <w:szCs w:val="12"/>
                <w:color w:val="auto"/>
              </w:rPr>
              <w:t>Depreciation and amortization</w:t>
            </w:r>
          </w:p>
        </w:tc>
        <w:tc>
          <w:tcPr>
            <w:tcW w:w="76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328</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536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340" w:type="dxa"/>
            <w:vAlign w:val="bottom"/>
            <w:shd w:val="clear" w:color="auto" w:fill="CCEEFF"/>
          </w:tcPr>
          <w:p>
            <w:pPr>
              <w:ind w:left="280"/>
              <w:spacing w:after="0" w:line="129" w:lineRule="exact"/>
              <w:rPr>
                <w:sz w:val="20"/>
                <w:szCs w:val="20"/>
                <w:color w:val="auto"/>
              </w:rPr>
            </w:pPr>
            <w:r>
              <w:rPr>
                <w:rFonts w:ascii="Times New Roman" w:cs="Times New Roman" w:eastAsia="Times New Roman" w:hAnsi="Times New Roman"/>
                <w:sz w:val="12"/>
                <w:szCs w:val="12"/>
                <w:color w:val="auto"/>
              </w:rPr>
              <w:t>Deferred income taxes</w:t>
            </w:r>
          </w:p>
        </w:tc>
        <w:tc>
          <w:tcPr>
            <w:tcW w:w="7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(78)</w:t>
            </w: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340" w:type="dxa"/>
            <w:vAlign w:val="bottom"/>
          </w:tcPr>
          <w:p>
            <w:pPr>
              <w:ind w:left="280"/>
              <w:spacing w:after="0" w:line="129" w:lineRule="exact"/>
              <w:rPr>
                <w:sz w:val="20"/>
                <w:szCs w:val="20"/>
                <w:color w:val="auto"/>
              </w:rPr>
            </w:pPr>
            <w:r>
              <w:rPr>
                <w:rFonts w:ascii="Times New Roman" w:cs="Times New Roman" w:eastAsia="Times New Roman" w:hAnsi="Times New Roman"/>
                <w:sz w:val="12"/>
                <w:szCs w:val="12"/>
                <w:color w:val="auto"/>
              </w:rPr>
              <w:t>Amortization of debt issuance costs</w:t>
            </w:r>
          </w:p>
        </w:tc>
        <w:tc>
          <w:tcPr>
            <w:tcW w:w="76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74</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340" w:type="dxa"/>
            <w:vAlign w:val="bottom"/>
            <w:shd w:val="clear" w:color="auto" w:fill="CCEEFF"/>
          </w:tcPr>
          <w:p>
            <w:pPr>
              <w:ind w:left="280"/>
              <w:spacing w:after="0" w:line="129" w:lineRule="exact"/>
              <w:rPr>
                <w:sz w:val="20"/>
                <w:szCs w:val="20"/>
                <w:color w:val="auto"/>
              </w:rPr>
            </w:pPr>
            <w:r>
              <w:rPr>
                <w:rFonts w:ascii="Times New Roman" w:cs="Times New Roman" w:eastAsia="Times New Roman" w:hAnsi="Times New Roman"/>
                <w:sz w:val="12"/>
                <w:szCs w:val="12"/>
                <w:color w:val="auto"/>
              </w:rPr>
              <w:t>Non-cash lease expense</w:t>
            </w:r>
          </w:p>
        </w:tc>
        <w:tc>
          <w:tcPr>
            <w:tcW w:w="7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313</w:t>
            </w: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298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340" w:type="dxa"/>
            <w:vAlign w:val="bottom"/>
          </w:tcPr>
          <w:p>
            <w:pPr>
              <w:ind w:left="280"/>
              <w:spacing w:after="0" w:line="129" w:lineRule="exact"/>
              <w:rPr>
                <w:sz w:val="20"/>
                <w:szCs w:val="20"/>
                <w:color w:val="auto"/>
              </w:rPr>
            </w:pPr>
            <w:r>
              <w:rPr>
                <w:rFonts w:ascii="Times New Roman" w:cs="Times New Roman" w:eastAsia="Times New Roman" w:hAnsi="Times New Roman"/>
                <w:sz w:val="12"/>
                <w:szCs w:val="12"/>
                <w:color w:val="auto"/>
              </w:rPr>
              <w:t>Capitalized interest - promissory notes-affiliates</w:t>
            </w:r>
          </w:p>
        </w:tc>
        <w:tc>
          <w:tcPr>
            <w:tcW w:w="760" w:type="dxa"/>
            <w:vAlign w:val="bottom"/>
          </w:tcPr>
          <w:p>
            <w:pPr>
              <w:spacing w:after="0"/>
              <w:rPr>
                <w:sz w:val="11"/>
                <w:szCs w:val="11"/>
                <w:color w:val="auto"/>
              </w:rPr>
            </w:pPr>
          </w:p>
        </w:tc>
        <w:tc>
          <w:tcPr>
            <w:tcW w:w="640" w:type="dxa"/>
            <w:vAlign w:val="bottom"/>
            <w:gridSpan w:val="2"/>
          </w:tcPr>
          <w:p>
            <w:pPr>
              <w:jc w:val="right"/>
              <w:ind w:right="2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128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340" w:type="dxa"/>
            <w:vAlign w:val="bottom"/>
            <w:shd w:val="clear" w:color="auto" w:fill="CCEEFF"/>
          </w:tcPr>
          <w:p>
            <w:pPr>
              <w:ind w:left="280"/>
              <w:spacing w:after="0" w:line="129" w:lineRule="exact"/>
              <w:rPr>
                <w:sz w:val="20"/>
                <w:szCs w:val="20"/>
                <w:color w:val="auto"/>
              </w:rPr>
            </w:pPr>
            <w:r>
              <w:rPr>
                <w:rFonts w:ascii="Times New Roman" w:cs="Times New Roman" w:eastAsia="Times New Roman" w:hAnsi="Times New Roman"/>
                <w:sz w:val="12"/>
                <w:szCs w:val="12"/>
                <w:color w:val="auto"/>
              </w:rPr>
              <w:t>Share-based compensation</w:t>
            </w:r>
          </w:p>
        </w:tc>
        <w:tc>
          <w:tcPr>
            <w:tcW w:w="7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392</w:t>
            </w: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340" w:type="dxa"/>
            <w:vAlign w:val="bottom"/>
          </w:tcPr>
          <w:p>
            <w:pPr>
              <w:ind w:left="180"/>
              <w:spacing w:after="0" w:line="129" w:lineRule="exact"/>
              <w:rPr>
                <w:sz w:val="20"/>
                <w:szCs w:val="20"/>
                <w:color w:val="auto"/>
              </w:rPr>
            </w:pPr>
            <w:r>
              <w:rPr>
                <w:rFonts w:ascii="Times New Roman" w:cs="Times New Roman" w:eastAsia="Times New Roman" w:hAnsi="Times New Roman"/>
                <w:sz w:val="12"/>
                <w:szCs w:val="12"/>
                <w:color w:val="auto"/>
              </w:rPr>
              <w:t>Changes in operating assets and liabilities:</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340" w:type="dxa"/>
            <w:vAlign w:val="bottom"/>
            <w:shd w:val="clear" w:color="auto" w:fill="CCEEFF"/>
          </w:tcPr>
          <w:p>
            <w:pPr>
              <w:ind w:left="280"/>
              <w:spacing w:after="0" w:line="129" w:lineRule="exact"/>
              <w:rPr>
                <w:sz w:val="20"/>
                <w:szCs w:val="20"/>
                <w:color w:val="auto"/>
              </w:rPr>
            </w:pPr>
            <w:r>
              <w:rPr>
                <w:rFonts w:ascii="Times New Roman" w:cs="Times New Roman" w:eastAsia="Times New Roman" w:hAnsi="Times New Roman"/>
                <w:sz w:val="12"/>
                <w:szCs w:val="12"/>
                <w:color w:val="auto"/>
              </w:rPr>
              <w:t>Due from clearing broker</w:t>
            </w:r>
          </w:p>
        </w:tc>
        <w:tc>
          <w:tcPr>
            <w:tcW w:w="7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(65)</w:t>
            </w: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160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340" w:type="dxa"/>
            <w:vAlign w:val="bottom"/>
          </w:tcPr>
          <w:p>
            <w:pPr>
              <w:ind w:left="280"/>
              <w:spacing w:after="0" w:line="129" w:lineRule="exact"/>
              <w:rPr>
                <w:sz w:val="20"/>
                <w:szCs w:val="20"/>
                <w:color w:val="auto"/>
              </w:rPr>
            </w:pPr>
            <w:r>
              <w:rPr>
                <w:rFonts w:ascii="Times New Roman" w:cs="Times New Roman" w:eastAsia="Times New Roman" w:hAnsi="Times New Roman"/>
                <w:sz w:val="12"/>
                <w:szCs w:val="12"/>
                <w:color w:val="auto"/>
              </w:rPr>
              <w:t>Commissions receivable</w:t>
            </w:r>
          </w:p>
        </w:tc>
        <w:tc>
          <w:tcPr>
            <w:tcW w:w="76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(409)</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(616)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340" w:type="dxa"/>
            <w:vAlign w:val="bottom"/>
            <w:shd w:val="clear" w:color="auto" w:fill="CCEEFF"/>
          </w:tcPr>
          <w:p>
            <w:pPr>
              <w:ind w:left="280"/>
              <w:spacing w:after="0" w:line="129" w:lineRule="exact"/>
              <w:rPr>
                <w:sz w:val="20"/>
                <w:szCs w:val="20"/>
                <w:color w:val="auto"/>
              </w:rPr>
            </w:pPr>
            <w:r>
              <w:rPr>
                <w:rFonts w:ascii="Times New Roman" w:cs="Times New Roman" w:eastAsia="Times New Roman" w:hAnsi="Times New Roman"/>
                <w:sz w:val="12"/>
                <w:szCs w:val="12"/>
                <w:color w:val="auto"/>
              </w:rPr>
              <w:t>Other receivables</w:t>
            </w:r>
          </w:p>
        </w:tc>
        <w:tc>
          <w:tcPr>
            <w:tcW w:w="7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(163)</w:t>
            </w: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455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340" w:type="dxa"/>
            <w:vAlign w:val="bottom"/>
          </w:tcPr>
          <w:p>
            <w:pPr>
              <w:ind w:left="280"/>
              <w:spacing w:after="0" w:line="129" w:lineRule="exact"/>
              <w:rPr>
                <w:sz w:val="20"/>
                <w:szCs w:val="20"/>
                <w:color w:val="auto"/>
              </w:rPr>
            </w:pPr>
            <w:r>
              <w:rPr>
                <w:rFonts w:ascii="Times New Roman" w:cs="Times New Roman" w:eastAsia="Times New Roman" w:hAnsi="Times New Roman"/>
                <w:sz w:val="12"/>
                <w:szCs w:val="12"/>
                <w:color w:val="auto"/>
              </w:rPr>
              <w:t>Other assets</w:t>
            </w:r>
          </w:p>
        </w:tc>
        <w:tc>
          <w:tcPr>
            <w:tcW w:w="760" w:type="dxa"/>
            <w:vAlign w:val="bottom"/>
          </w:tcPr>
          <w:p>
            <w:pPr>
              <w:spacing w:after="0"/>
              <w:rPr>
                <w:sz w:val="11"/>
                <w:szCs w:val="11"/>
                <w:color w:val="auto"/>
              </w:rPr>
            </w:pPr>
          </w:p>
        </w:tc>
        <w:tc>
          <w:tcPr>
            <w:tcW w:w="640" w:type="dxa"/>
            <w:vAlign w:val="bottom"/>
            <w:gridSpan w:val="2"/>
          </w:tcPr>
          <w:p>
            <w:pPr>
              <w:jc w:val="right"/>
              <w:ind w:right="220"/>
              <w:spacing w:after="0" w:line="129" w:lineRule="exact"/>
              <w:rPr>
                <w:sz w:val="20"/>
                <w:szCs w:val="20"/>
                <w:color w:val="auto"/>
              </w:rPr>
            </w:pPr>
            <w:r>
              <w:rPr>
                <w:rFonts w:ascii="Times New Roman" w:cs="Times New Roman" w:eastAsia="Times New Roman" w:hAnsi="Times New Roman"/>
                <w:sz w:val="12"/>
                <w:szCs w:val="12"/>
                <w:color w:val="auto"/>
              </w:rPr>
              <w:t>(1,349)</w:t>
            </w:r>
          </w:p>
        </w:tc>
        <w:tc>
          <w:tcPr>
            <w:tcW w:w="80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(63)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340" w:type="dxa"/>
            <w:vAlign w:val="bottom"/>
            <w:shd w:val="clear" w:color="auto" w:fill="CCEEFF"/>
          </w:tcPr>
          <w:p>
            <w:pPr>
              <w:ind w:left="280"/>
              <w:spacing w:after="0" w:line="129" w:lineRule="exact"/>
              <w:rPr>
                <w:sz w:val="20"/>
                <w:szCs w:val="20"/>
                <w:color w:val="auto"/>
              </w:rPr>
            </w:pPr>
            <w:r>
              <w:rPr>
                <w:rFonts w:ascii="Times New Roman" w:cs="Times New Roman" w:eastAsia="Times New Roman" w:hAnsi="Times New Roman"/>
                <w:sz w:val="12"/>
                <w:szCs w:val="12"/>
                <w:color w:val="auto"/>
              </w:rPr>
              <w:t>Accounts payable and accrued expenses</w:t>
            </w:r>
          </w:p>
        </w:tc>
        <w:tc>
          <w:tcPr>
            <w:tcW w:w="7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1,746</w:t>
            </w: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(433)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340" w:type="dxa"/>
            <w:vAlign w:val="bottom"/>
          </w:tcPr>
          <w:p>
            <w:pPr>
              <w:ind w:left="280"/>
              <w:spacing w:after="0" w:line="129" w:lineRule="exact"/>
              <w:rPr>
                <w:sz w:val="20"/>
                <w:szCs w:val="20"/>
                <w:color w:val="auto"/>
              </w:rPr>
            </w:pPr>
            <w:r>
              <w:rPr>
                <w:rFonts w:ascii="Times New Roman" w:cs="Times New Roman" w:eastAsia="Times New Roman" w:hAnsi="Times New Roman"/>
                <w:sz w:val="12"/>
                <w:szCs w:val="12"/>
                <w:color w:val="auto"/>
              </w:rPr>
              <w:t>Commissions payable</w:t>
            </w:r>
          </w:p>
        </w:tc>
        <w:tc>
          <w:tcPr>
            <w:tcW w:w="76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241</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340" w:type="dxa"/>
            <w:vAlign w:val="bottom"/>
            <w:shd w:val="clear" w:color="auto" w:fill="CCEEFF"/>
          </w:tcPr>
          <w:p>
            <w:pPr>
              <w:ind w:left="280"/>
              <w:spacing w:after="0" w:line="129" w:lineRule="exact"/>
              <w:rPr>
                <w:sz w:val="20"/>
                <w:szCs w:val="20"/>
                <w:color w:val="auto"/>
              </w:rPr>
            </w:pPr>
            <w:r>
              <w:rPr>
                <w:rFonts w:ascii="Times New Roman" w:cs="Times New Roman" w:eastAsia="Times New Roman" w:hAnsi="Times New Roman"/>
                <w:sz w:val="12"/>
                <w:szCs w:val="12"/>
                <w:color w:val="auto"/>
              </w:rPr>
              <w:t>Operating lease liabilities</w:t>
            </w:r>
          </w:p>
        </w:tc>
        <w:tc>
          <w:tcPr>
            <w:tcW w:w="7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(292)</w:t>
            </w:r>
          </w:p>
        </w:tc>
        <w:tc>
          <w:tcPr>
            <w:tcW w:w="220" w:type="dxa"/>
            <w:vAlign w:val="bottom"/>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(277)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7340" w:type="dxa"/>
            <w:vAlign w:val="bottom"/>
          </w:tcPr>
          <w:p>
            <w:pPr>
              <w:ind w:left="280"/>
              <w:spacing w:after="0" w:line="120" w:lineRule="exact"/>
              <w:rPr>
                <w:sz w:val="20"/>
                <w:szCs w:val="20"/>
                <w:color w:val="auto"/>
              </w:rPr>
            </w:pPr>
            <w:r>
              <w:rPr>
                <w:rFonts w:ascii="Times New Roman" w:cs="Times New Roman" w:eastAsia="Times New Roman" w:hAnsi="Times New Roman"/>
                <w:sz w:val="12"/>
                <w:szCs w:val="12"/>
                <w:b w:val="1"/>
                <w:bCs w:val="1"/>
                <w:color w:val="auto"/>
              </w:rPr>
              <w:t>Net Cash Provided By (Used In) Operating Activities</w:t>
            </w:r>
          </w:p>
        </w:tc>
        <w:tc>
          <w:tcPr>
            <w:tcW w:w="760" w:type="dxa"/>
            <w:vAlign w:val="bottom"/>
          </w:tcPr>
          <w:p>
            <w:pPr>
              <w:spacing w:after="0"/>
              <w:rPr>
                <w:sz w:val="10"/>
                <w:szCs w:val="10"/>
                <w:color w:val="auto"/>
              </w:rPr>
            </w:pPr>
          </w:p>
        </w:tc>
        <w:tc>
          <w:tcPr>
            <w:tcW w:w="420" w:type="dxa"/>
            <w:vAlign w:val="bottom"/>
          </w:tcPr>
          <w:p>
            <w:pPr>
              <w:jc w:val="right"/>
              <w:spacing w:after="0" w:line="120" w:lineRule="exact"/>
              <w:rPr>
                <w:sz w:val="20"/>
                <w:szCs w:val="20"/>
                <w:color w:val="auto"/>
              </w:rPr>
            </w:pPr>
            <w:r>
              <w:rPr>
                <w:rFonts w:ascii="Times New Roman" w:cs="Times New Roman" w:eastAsia="Times New Roman" w:hAnsi="Times New Roman"/>
                <w:sz w:val="12"/>
                <w:szCs w:val="12"/>
                <w:color w:val="auto"/>
              </w:rPr>
              <w:t>1,117</w:t>
            </w: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jc w:val="right"/>
              <w:spacing w:after="0" w:line="120" w:lineRule="exact"/>
              <w:rPr>
                <w:sz w:val="20"/>
                <w:szCs w:val="20"/>
                <w:color w:val="auto"/>
              </w:rPr>
            </w:pPr>
            <w:r>
              <w:rPr>
                <w:rFonts w:ascii="Times New Roman" w:cs="Times New Roman" w:eastAsia="Times New Roman" w:hAnsi="Times New Roman"/>
                <w:sz w:val="12"/>
                <w:szCs w:val="12"/>
                <w:color w:val="auto"/>
              </w:rPr>
              <w:t>(2,113)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73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34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340" w:type="dxa"/>
            <w:vAlign w:val="bottom"/>
            <w:shd w:val="clear" w:color="auto" w:fill="CCEEFF"/>
          </w:tcPr>
          <w:p>
            <w:pPr>
              <w:ind w:left="280"/>
              <w:spacing w:after="0" w:line="129" w:lineRule="exact"/>
              <w:rPr>
                <w:sz w:val="20"/>
                <w:szCs w:val="20"/>
                <w:color w:val="auto"/>
              </w:rPr>
            </w:pPr>
            <w:r>
              <w:rPr>
                <w:rFonts w:ascii="Times New Roman" w:cs="Times New Roman" w:eastAsia="Times New Roman" w:hAnsi="Times New Roman"/>
                <w:sz w:val="12"/>
                <w:szCs w:val="12"/>
                <w:color w:val="auto"/>
              </w:rPr>
              <w:t>Purchases of property and equipment</w:t>
            </w:r>
          </w:p>
        </w:tc>
        <w:tc>
          <w:tcPr>
            <w:tcW w:w="7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(8)</w:t>
            </w:r>
          </w:p>
        </w:tc>
        <w:tc>
          <w:tcPr>
            <w:tcW w:w="220" w:type="dxa"/>
            <w:vAlign w:val="bottom"/>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7340" w:type="dxa"/>
            <w:vAlign w:val="bottom"/>
          </w:tcPr>
          <w:p>
            <w:pPr>
              <w:ind w:left="280"/>
              <w:spacing w:after="0" w:line="120" w:lineRule="exact"/>
              <w:rPr>
                <w:sz w:val="20"/>
                <w:szCs w:val="20"/>
                <w:color w:val="auto"/>
              </w:rPr>
            </w:pPr>
            <w:r>
              <w:rPr>
                <w:rFonts w:ascii="Times New Roman" w:cs="Times New Roman" w:eastAsia="Times New Roman" w:hAnsi="Times New Roman"/>
                <w:sz w:val="12"/>
                <w:szCs w:val="12"/>
                <w:b w:val="1"/>
                <w:bCs w:val="1"/>
                <w:color w:val="auto"/>
              </w:rPr>
              <w:t>Net Cash Used In Investing Activities</w:t>
            </w:r>
          </w:p>
        </w:tc>
        <w:tc>
          <w:tcPr>
            <w:tcW w:w="760" w:type="dxa"/>
            <w:vAlign w:val="bottom"/>
          </w:tcPr>
          <w:p>
            <w:pPr>
              <w:spacing w:after="0"/>
              <w:rPr>
                <w:sz w:val="10"/>
                <w:szCs w:val="10"/>
                <w:color w:val="auto"/>
              </w:rPr>
            </w:pPr>
          </w:p>
        </w:tc>
        <w:tc>
          <w:tcPr>
            <w:tcW w:w="420" w:type="dxa"/>
            <w:vAlign w:val="bottom"/>
          </w:tcPr>
          <w:p>
            <w:pPr>
              <w:jc w:val="right"/>
              <w:spacing w:after="0" w:line="120" w:lineRule="exact"/>
              <w:rPr>
                <w:sz w:val="20"/>
                <w:szCs w:val="20"/>
                <w:color w:val="auto"/>
              </w:rPr>
            </w:pPr>
            <w:r>
              <w:rPr>
                <w:rFonts w:ascii="Times New Roman" w:cs="Times New Roman" w:eastAsia="Times New Roman" w:hAnsi="Times New Roman"/>
                <w:sz w:val="12"/>
                <w:szCs w:val="12"/>
                <w:color w:val="auto"/>
              </w:rPr>
              <w:t>(8)</w:t>
            </w: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jc w:val="right"/>
              <w:spacing w:after="0" w:line="120" w:lineRule="exact"/>
              <w:rPr>
                <w:sz w:val="20"/>
                <w:szCs w:val="20"/>
                <w:color w:val="auto"/>
              </w:rPr>
            </w:pPr>
            <w:r>
              <w:rPr>
                <w:rFonts w:ascii="Times New Roman" w:cs="Times New Roman" w:eastAsia="Times New Roman" w:hAnsi="Times New Roman"/>
                <w:sz w:val="12"/>
                <w:szCs w:val="12"/>
                <w:color w:val="auto"/>
              </w:rPr>
              <w:t>(18)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73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34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340" w:type="dxa"/>
            <w:vAlign w:val="bottom"/>
            <w:shd w:val="clear" w:color="auto" w:fill="CCEEFF"/>
          </w:tcPr>
          <w:p>
            <w:pPr>
              <w:ind w:left="280"/>
              <w:spacing w:after="0" w:line="129" w:lineRule="exact"/>
              <w:rPr>
                <w:sz w:val="20"/>
                <w:szCs w:val="20"/>
                <w:color w:val="auto"/>
              </w:rPr>
            </w:pPr>
            <w:r>
              <w:rPr>
                <w:rFonts w:ascii="Times New Roman" w:cs="Times New Roman" w:eastAsia="Times New Roman" w:hAnsi="Times New Roman"/>
                <w:sz w:val="12"/>
                <w:szCs w:val="12"/>
                <w:color w:val="auto"/>
              </w:rPr>
              <w:t>Repayment - notes payable</w:t>
            </w:r>
          </w:p>
        </w:tc>
        <w:tc>
          <w:tcPr>
            <w:tcW w:w="7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20"/>
              <w:spacing w:after="0" w:line="129" w:lineRule="exact"/>
              <w:rPr>
                <w:sz w:val="20"/>
                <w:szCs w:val="20"/>
                <w:color w:val="auto"/>
              </w:rPr>
            </w:pPr>
            <w:r>
              <w:rPr>
                <w:rFonts w:ascii="Times New Roman" w:cs="Times New Roman" w:eastAsia="Times New Roman" w:hAnsi="Times New Roman"/>
                <w:sz w:val="12"/>
                <w:szCs w:val="12"/>
                <w:color w:val="auto"/>
              </w:rPr>
              <w:t>(1,015)</w:t>
            </w:r>
          </w:p>
        </w:tc>
        <w:tc>
          <w:tcPr>
            <w:tcW w:w="8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(1,169)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340" w:type="dxa"/>
            <w:vAlign w:val="bottom"/>
          </w:tcPr>
          <w:p>
            <w:pPr>
              <w:ind w:left="280"/>
              <w:spacing w:after="0" w:line="129" w:lineRule="exact"/>
              <w:rPr>
                <w:sz w:val="20"/>
                <w:szCs w:val="20"/>
                <w:color w:val="auto"/>
              </w:rPr>
            </w:pPr>
            <w:r>
              <w:rPr>
                <w:rFonts w:ascii="Times New Roman" w:cs="Times New Roman" w:eastAsia="Times New Roman" w:hAnsi="Times New Roman"/>
                <w:sz w:val="12"/>
                <w:szCs w:val="12"/>
                <w:color w:val="auto"/>
              </w:rPr>
              <w:t>Repayment of promissory notes-affiliates</w:t>
            </w:r>
          </w:p>
        </w:tc>
        <w:tc>
          <w:tcPr>
            <w:tcW w:w="760" w:type="dxa"/>
            <w:vAlign w:val="bottom"/>
          </w:tcPr>
          <w:p>
            <w:pPr>
              <w:spacing w:after="0"/>
              <w:rPr>
                <w:sz w:val="11"/>
                <w:szCs w:val="11"/>
                <w:color w:val="auto"/>
              </w:rPr>
            </w:pPr>
          </w:p>
        </w:tc>
        <w:tc>
          <w:tcPr>
            <w:tcW w:w="640" w:type="dxa"/>
            <w:vAlign w:val="bottom"/>
            <w:gridSpan w:val="2"/>
          </w:tcPr>
          <w:p>
            <w:pPr>
              <w:jc w:val="right"/>
              <w:ind w:right="2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(3,445)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340" w:type="dxa"/>
            <w:vAlign w:val="bottom"/>
            <w:shd w:val="clear" w:color="auto" w:fill="CCEEFF"/>
          </w:tcPr>
          <w:p>
            <w:pPr>
              <w:ind w:left="280"/>
              <w:spacing w:after="0" w:line="129" w:lineRule="exact"/>
              <w:rPr>
                <w:sz w:val="20"/>
                <w:szCs w:val="20"/>
                <w:color w:val="auto"/>
              </w:rPr>
            </w:pPr>
            <w:r>
              <w:rPr>
                <w:rFonts w:ascii="Times New Roman" w:cs="Times New Roman" w:eastAsia="Times New Roman" w:hAnsi="Times New Roman"/>
                <w:sz w:val="12"/>
                <w:szCs w:val="12"/>
                <w:color w:val="auto"/>
              </w:rPr>
              <w:t>Repayment of borrowings from members</w:t>
            </w:r>
          </w:p>
        </w:tc>
        <w:tc>
          <w:tcPr>
            <w:tcW w:w="7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(903)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340" w:type="dxa"/>
            <w:vAlign w:val="bottom"/>
          </w:tcPr>
          <w:p>
            <w:pPr>
              <w:ind w:left="280"/>
              <w:spacing w:after="0" w:line="129" w:lineRule="exact"/>
              <w:rPr>
                <w:sz w:val="20"/>
                <w:szCs w:val="20"/>
                <w:color w:val="auto"/>
              </w:rPr>
            </w:pPr>
            <w:r>
              <w:rPr>
                <w:rFonts w:ascii="Times New Roman" w:cs="Times New Roman" w:eastAsia="Times New Roman" w:hAnsi="Times New Roman"/>
                <w:sz w:val="12"/>
                <w:szCs w:val="12"/>
                <w:color w:val="auto"/>
              </w:rPr>
              <w:t>Net payment for reverse merger and recapitalization</w:t>
            </w:r>
          </w:p>
        </w:tc>
        <w:tc>
          <w:tcPr>
            <w:tcW w:w="760" w:type="dxa"/>
            <w:vAlign w:val="bottom"/>
          </w:tcPr>
          <w:p>
            <w:pPr>
              <w:spacing w:after="0"/>
              <w:rPr>
                <w:sz w:val="11"/>
                <w:szCs w:val="11"/>
                <w:color w:val="auto"/>
              </w:rPr>
            </w:pPr>
          </w:p>
        </w:tc>
        <w:tc>
          <w:tcPr>
            <w:tcW w:w="640" w:type="dxa"/>
            <w:vAlign w:val="bottom"/>
            <w:gridSpan w:val="2"/>
          </w:tcPr>
          <w:p>
            <w:pPr>
              <w:jc w:val="right"/>
              <w:ind w:right="2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(7,679)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340" w:type="dxa"/>
            <w:vAlign w:val="bottom"/>
            <w:shd w:val="clear" w:color="auto" w:fill="CCEEFF"/>
          </w:tcPr>
          <w:p>
            <w:pPr>
              <w:ind w:left="280"/>
              <w:spacing w:after="0" w:line="129" w:lineRule="exact"/>
              <w:rPr>
                <w:sz w:val="20"/>
                <w:szCs w:val="20"/>
                <w:color w:val="auto"/>
              </w:rPr>
            </w:pPr>
            <w:r>
              <w:rPr>
                <w:rFonts w:ascii="Times New Roman" w:cs="Times New Roman" w:eastAsia="Times New Roman" w:hAnsi="Times New Roman"/>
                <w:sz w:val="12"/>
                <w:szCs w:val="12"/>
                <w:color w:val="auto"/>
              </w:rPr>
              <w:t>Proceeds from Series A redeemable convertible preferred stock issuance</w:t>
            </w:r>
          </w:p>
        </w:tc>
        <w:tc>
          <w:tcPr>
            <w:tcW w:w="7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w w:val="96"/>
              </w:rPr>
              <w:t>14,400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340" w:type="dxa"/>
            <w:vAlign w:val="bottom"/>
          </w:tcPr>
          <w:p>
            <w:pPr>
              <w:ind w:left="280"/>
              <w:spacing w:after="0" w:line="129" w:lineRule="exact"/>
              <w:rPr>
                <w:sz w:val="20"/>
                <w:szCs w:val="20"/>
                <w:color w:val="auto"/>
              </w:rPr>
            </w:pPr>
            <w:r>
              <w:rPr>
                <w:rFonts w:ascii="Times New Roman" w:cs="Times New Roman" w:eastAsia="Times New Roman" w:hAnsi="Times New Roman"/>
                <w:sz w:val="12"/>
                <w:szCs w:val="12"/>
                <w:color w:val="auto"/>
              </w:rPr>
              <w:t>Dividends - Series A - redeemable convertible preferred stock</w:t>
            </w:r>
          </w:p>
        </w:tc>
        <w:tc>
          <w:tcPr>
            <w:tcW w:w="76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(356)</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340" w:type="dxa"/>
            <w:vAlign w:val="bottom"/>
            <w:shd w:val="clear" w:color="auto" w:fill="CCEEFF"/>
          </w:tcPr>
          <w:p>
            <w:pPr>
              <w:ind w:left="280"/>
              <w:spacing w:after="0" w:line="129" w:lineRule="exact"/>
              <w:rPr>
                <w:sz w:val="20"/>
                <w:szCs w:val="20"/>
                <w:color w:val="auto"/>
              </w:rPr>
            </w:pPr>
            <w:r>
              <w:rPr>
                <w:rFonts w:ascii="Times New Roman" w:cs="Times New Roman" w:eastAsia="Times New Roman" w:hAnsi="Times New Roman"/>
                <w:sz w:val="12"/>
                <w:szCs w:val="12"/>
                <w:color w:val="auto"/>
              </w:rPr>
              <w:t>Dividends - Series B redeemable convertible preferred stock</w:t>
            </w:r>
          </w:p>
        </w:tc>
        <w:tc>
          <w:tcPr>
            <w:tcW w:w="7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(54)</w:t>
            </w: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340" w:type="dxa"/>
            <w:vAlign w:val="bottom"/>
          </w:tcPr>
          <w:p>
            <w:pPr>
              <w:ind w:left="280"/>
              <w:spacing w:after="0" w:line="129" w:lineRule="exact"/>
              <w:rPr>
                <w:sz w:val="20"/>
                <w:szCs w:val="20"/>
                <w:color w:val="auto"/>
              </w:rPr>
            </w:pPr>
            <w:r>
              <w:rPr>
                <w:rFonts w:ascii="Times New Roman" w:cs="Times New Roman" w:eastAsia="Times New Roman" w:hAnsi="Times New Roman"/>
                <w:sz w:val="12"/>
                <w:szCs w:val="12"/>
                <w:color w:val="auto"/>
              </w:rPr>
              <w:t>Proceeds from exercise of warrants</w:t>
            </w:r>
          </w:p>
        </w:tc>
        <w:tc>
          <w:tcPr>
            <w:tcW w:w="760" w:type="dxa"/>
            <w:vAlign w:val="bottom"/>
          </w:tcPr>
          <w:p>
            <w:pPr>
              <w:spacing w:after="0"/>
              <w:rPr>
                <w:sz w:val="11"/>
                <w:szCs w:val="11"/>
                <w:color w:val="auto"/>
              </w:rPr>
            </w:pPr>
          </w:p>
        </w:tc>
        <w:tc>
          <w:tcPr>
            <w:tcW w:w="640" w:type="dxa"/>
            <w:vAlign w:val="bottom"/>
            <w:gridSpan w:val="2"/>
          </w:tcPr>
          <w:p>
            <w:pPr>
              <w:jc w:val="right"/>
              <w:ind w:right="2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416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340" w:type="dxa"/>
            <w:vAlign w:val="bottom"/>
            <w:shd w:val="clear" w:color="auto" w:fill="CCEEFF"/>
          </w:tcPr>
          <w:p>
            <w:pPr>
              <w:ind w:left="280"/>
              <w:spacing w:after="0" w:line="129" w:lineRule="exact"/>
              <w:rPr>
                <w:sz w:val="20"/>
                <w:szCs w:val="20"/>
                <w:color w:val="auto"/>
              </w:rPr>
            </w:pPr>
            <w:r>
              <w:rPr>
                <w:rFonts w:ascii="Times New Roman" w:cs="Times New Roman" w:eastAsia="Times New Roman" w:hAnsi="Times New Roman"/>
                <w:sz w:val="12"/>
                <w:szCs w:val="12"/>
                <w:color w:val="auto"/>
              </w:rPr>
              <w:t>Distribution of capital</w:t>
            </w:r>
          </w:p>
        </w:tc>
        <w:tc>
          <w:tcPr>
            <w:tcW w:w="7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(85)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7340" w:type="dxa"/>
            <w:vAlign w:val="bottom"/>
          </w:tcPr>
          <w:p>
            <w:pPr>
              <w:ind w:left="280"/>
              <w:spacing w:after="0" w:line="120" w:lineRule="exact"/>
              <w:rPr>
                <w:sz w:val="20"/>
                <w:szCs w:val="20"/>
                <w:color w:val="auto"/>
              </w:rPr>
            </w:pPr>
            <w:r>
              <w:rPr>
                <w:rFonts w:ascii="Times New Roman" w:cs="Times New Roman" w:eastAsia="Times New Roman" w:hAnsi="Times New Roman"/>
                <w:sz w:val="12"/>
                <w:szCs w:val="12"/>
                <w:b w:val="1"/>
                <w:bCs w:val="1"/>
                <w:color w:val="auto"/>
              </w:rPr>
              <w:t>Net Cash (Used In) Provided By Financing Activities</w:t>
            </w:r>
          </w:p>
        </w:tc>
        <w:tc>
          <w:tcPr>
            <w:tcW w:w="7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(1,425)</w:t>
            </w:r>
          </w:p>
        </w:tc>
        <w:tc>
          <w:tcPr>
            <w:tcW w:w="22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1,535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73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34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Net Change in Cash, Cash Equivalents and Restricted Cash</w:t>
            </w:r>
          </w:p>
        </w:tc>
        <w:tc>
          <w:tcPr>
            <w:tcW w:w="76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(316)</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(596)</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34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340" w:type="dxa"/>
            <w:vAlign w:val="bottom"/>
            <w:tcBorders>
              <w:bottom w:val="single" w:sz="8" w:color="CCEEFF"/>
            </w:tcBorders>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Cash, Cash Equivalents and Restricted Cash - Beginning of Period</w:t>
            </w:r>
          </w:p>
        </w:tc>
        <w:tc>
          <w:tcPr>
            <w:tcW w:w="760" w:type="dxa"/>
            <w:vAlign w:val="bottom"/>
            <w:tcBorders>
              <w:bottom w:val="single" w:sz="8" w:color="auto"/>
            </w:tcBorders>
          </w:tcPr>
          <w:p>
            <w:pPr>
              <w:jc w:val="right"/>
              <w:ind w:right="641"/>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8,486</w:t>
            </w:r>
          </w:p>
        </w:tc>
        <w:tc>
          <w:tcPr>
            <w:tcW w:w="22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682"/>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7,621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73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734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Cash, Cash Equivalents and Restricted Cash - End of Period</w:t>
            </w:r>
          </w:p>
        </w:tc>
        <w:tc>
          <w:tcPr>
            <w:tcW w:w="76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8,170</w:t>
            </w:r>
          </w:p>
        </w:tc>
        <w:tc>
          <w:tcPr>
            <w:tcW w:w="2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682"/>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7,025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73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734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Cash Paid During the Period for: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340" w:type="dxa"/>
            <w:vAlign w:val="bottom"/>
            <w:shd w:val="clear" w:color="auto" w:fill="CCEEFF"/>
          </w:tcPr>
          <w:p>
            <w:pPr>
              <w:ind w:left="280"/>
              <w:spacing w:after="0" w:line="129" w:lineRule="exact"/>
              <w:rPr>
                <w:sz w:val="20"/>
                <w:szCs w:val="20"/>
                <w:color w:val="auto"/>
              </w:rPr>
            </w:pPr>
            <w:r>
              <w:rPr>
                <w:rFonts w:ascii="Times New Roman" w:cs="Times New Roman" w:eastAsia="Times New Roman" w:hAnsi="Times New Roman"/>
                <w:sz w:val="12"/>
                <w:szCs w:val="12"/>
                <w:color w:val="auto"/>
              </w:rPr>
              <w:t>Interest</w:t>
            </w:r>
          </w:p>
        </w:tc>
        <w:tc>
          <w:tcPr>
            <w:tcW w:w="760" w:type="dxa"/>
            <w:vAlign w:val="bottom"/>
            <w:shd w:val="clear" w:color="auto" w:fill="CCEEFF"/>
          </w:tcPr>
          <w:p>
            <w:pPr>
              <w:jc w:val="right"/>
              <w:ind w:right="641"/>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1,087</w:t>
            </w: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682"/>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1,324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Supplemental Disclosure of Non-Cash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6306185" cy="812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06185" cy="81280"/>
                    </a:xfrm>
                    <a:prstGeom prst="rect">
                      <a:avLst/>
                    </a:prstGeom>
                    <a:noFill/>
                  </pic:spPr>
                </pic:pic>
              </a:graphicData>
            </a:graphic>
          </wp:anchor>
        </w:drawing>
      </w:r>
    </w:p>
    <w:p>
      <w:pPr>
        <w:ind w:right="3040"/>
        <w:spacing w:after="0" w:line="223" w:lineRule="auto"/>
        <w:rPr>
          <w:sz w:val="20"/>
          <w:szCs w:val="20"/>
          <w:color w:val="auto"/>
        </w:rPr>
      </w:pPr>
      <w:r>
        <w:rPr>
          <w:rFonts w:ascii="Times New Roman" w:cs="Times New Roman" w:eastAsia="Times New Roman" w:hAnsi="Times New Roman"/>
          <w:sz w:val="12"/>
          <w:szCs w:val="12"/>
          <w:color w:val="auto"/>
        </w:rPr>
        <w:t>During the period ended June 30, 2024 and in connection with the reverse merger and recapitalization the Company extinguished amounts related to the promissory notes-affiliates in the approximate amount of $3,800.</w:t>
      </w:r>
    </w:p>
    <w:p>
      <w:pPr>
        <w:ind w:right="2820"/>
        <w:spacing w:after="0" w:line="223" w:lineRule="auto"/>
        <w:rPr>
          <w:sz w:val="20"/>
          <w:szCs w:val="20"/>
          <w:color w:val="auto"/>
        </w:rPr>
      </w:pPr>
      <w:r>
        <w:rPr>
          <w:rFonts w:ascii="Times New Roman" w:cs="Times New Roman" w:eastAsia="Times New Roman" w:hAnsi="Times New Roman"/>
          <w:sz w:val="12"/>
          <w:szCs w:val="12"/>
          <w:color w:val="auto"/>
        </w:rPr>
        <w:t>During the period ended June 30, 2024 and in connection with the reverse merger and recapitalization the Company extinguished amounts and issued stock in consideration to satisfy these obligations in the approximate amount of $4,300.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-158750</wp:posOffset>
            </wp:positionV>
            <wp:extent cx="630618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06185" cy="163195"/>
                    </a:xfrm>
                    <a:prstGeom prst="rect">
                      <a:avLst/>
                    </a:prstGeom>
                    <a:noFill/>
                  </pic:spPr>
                </pic:pic>
              </a:graphicData>
            </a:graphic>
          </wp:anchor>
        </w:drawing>
      </w:r>
    </w:p>
    <w:p>
      <w:pPr>
        <w:ind w:right="3260"/>
        <w:spacing w:after="0" w:line="242" w:lineRule="auto"/>
        <w:rPr>
          <w:sz w:val="20"/>
          <w:szCs w:val="20"/>
          <w:color w:val="auto"/>
        </w:rPr>
      </w:pPr>
      <w:r>
        <w:rPr>
          <w:rFonts w:ascii="Times New Roman" w:cs="Times New Roman" w:eastAsia="Times New Roman" w:hAnsi="Times New Roman"/>
          <w:sz w:val="12"/>
          <w:szCs w:val="12"/>
          <w:color w:val="auto"/>
        </w:rPr>
        <w:t>For the six month periods ended June 30, 2025 and June 30, 2024, the Company paid an in-kind dividend to the Series A Redeemable Convertible Preferred Stockholder in the amount of $353 and $195, respectively.</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308610</wp:posOffset>
            </wp:positionV>
            <wp:extent cx="6306185" cy="22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06185" cy="22225"/>
                    </a:xfrm>
                    <a:prstGeom prst="rect">
                      <a:avLst/>
                    </a:prstGeom>
                    <a:noFill/>
                  </pic:spPr>
                </pic:pic>
              </a:graphicData>
            </a:graphic>
          </wp:anchor>
        </w:drawing>
      </w:r>
    </w:p>
    <w:p>
      <w:pPr>
        <w:sectPr>
          <w:pgSz w:w="11900" w:h="16838" w:orient="portrait"/>
          <w:cols w:equalWidth="0" w:num="1">
            <w:col w:w="9920"/>
          </w:cols>
          <w:pgMar w:left="980" w:top="461" w:right="999" w:bottom="1440" w:gutter="0" w:footer="0" w:header="0"/>
        </w:sectPr>
      </w:pPr>
    </w:p>
    <w:bookmarkStart w:id="9" w:name="page10"/>
    <w:bookmarkEnd w:id="9"/>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BINAH CAPITAL GROUP, INC.</w:t>
      </w:r>
    </w:p>
    <w:p>
      <w:pPr>
        <w:spacing w:after="0" w:line="2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w:t>
      </w:r>
    </w:p>
    <w:p>
      <w:pPr>
        <w:spacing w:after="0" w:line="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June 30, 2025</w:t>
      </w:r>
    </w:p>
    <w:p>
      <w:pPr>
        <w:spacing w:after="0" w:line="137" w:lineRule="exact"/>
        <w:rPr>
          <w:sz w:val="20"/>
          <w:szCs w:val="20"/>
          <w:color w:val="auto"/>
        </w:rPr>
      </w:pPr>
    </w:p>
    <w:p>
      <w:pPr>
        <w:ind w:left="285" w:hanging="285"/>
        <w:spacing w:after="0"/>
        <w:tabs>
          <w:tab w:leader="none" w:pos="285"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ORGANIZATION, DESCRIPTION OF BUSINESS AND BASIS OF PRESENTATION</w:t>
      </w:r>
    </w:p>
    <w:p>
      <w:pPr>
        <w:spacing w:after="0" w:line="145" w:lineRule="exact"/>
        <w:rPr>
          <w:sz w:val="20"/>
          <w:szCs w:val="20"/>
          <w:color w:val="auto"/>
        </w:rPr>
      </w:pPr>
    </w:p>
    <w:p>
      <w:pPr>
        <w:ind w:left="5" w:right="20"/>
        <w:spacing w:after="0" w:line="267" w:lineRule="auto"/>
        <w:rPr>
          <w:sz w:val="20"/>
          <w:szCs w:val="20"/>
          <w:color w:val="auto"/>
        </w:rPr>
      </w:pPr>
      <w:r>
        <w:rPr>
          <w:rFonts w:ascii="Times New Roman" w:cs="Times New Roman" w:eastAsia="Times New Roman" w:hAnsi="Times New Roman"/>
          <w:sz w:val="16"/>
          <w:szCs w:val="16"/>
          <w:color w:val="auto"/>
        </w:rPr>
        <w:t>Binah Capital Group, Inc. (“Binah Capital”, “Holdings” or the “Company,” representing the consolidated group), is a Delaware corporation, formed on June 27, 2022 that serves as a holding company for its wholly-owned subsidiaries operating in the retail wealth management business.</w:t>
      </w:r>
    </w:p>
    <w:p>
      <w:pPr>
        <w:spacing w:after="0" w:line="104" w:lineRule="exact"/>
        <w:rPr>
          <w:sz w:val="20"/>
          <w:szCs w:val="20"/>
          <w:color w:val="auto"/>
        </w:rPr>
      </w:pPr>
    </w:p>
    <w:p>
      <w:pPr>
        <w:ind w:left="5"/>
        <w:spacing w:after="0" w:line="267" w:lineRule="auto"/>
        <w:rPr>
          <w:sz w:val="20"/>
          <w:szCs w:val="20"/>
          <w:color w:val="auto"/>
        </w:rPr>
      </w:pPr>
      <w:r>
        <w:rPr>
          <w:rFonts w:ascii="Times New Roman" w:cs="Times New Roman" w:eastAsia="Times New Roman" w:hAnsi="Times New Roman"/>
          <w:sz w:val="16"/>
          <w:szCs w:val="16"/>
          <w:color w:val="auto"/>
        </w:rPr>
        <w:t>Binah Capital through its wholly-owned subsidiary Wentworth Management Services LLC (dba, Binah Management Services, “BMS”) operates multiple businesses in the financial services industry as follows:</w:t>
      </w:r>
    </w:p>
    <w:p>
      <w:pPr>
        <w:spacing w:after="0" w:line="104" w:lineRule="exact"/>
        <w:rPr>
          <w:sz w:val="20"/>
          <w:szCs w:val="20"/>
          <w:color w:val="auto"/>
        </w:rPr>
      </w:pPr>
    </w:p>
    <w:p>
      <w:pPr>
        <w:ind w:left="585" w:right="20" w:hanging="281"/>
        <w:spacing w:after="0" w:line="267" w:lineRule="auto"/>
        <w:tabs>
          <w:tab w:leader="none" w:pos="585"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PKS Holdings, LLC (“PKSH”) maintains offices in Albany, New York, and branch offices throughout the United States of America, and includes the following entities (collectively, the “PKSH Entities”):</w:t>
      </w:r>
    </w:p>
    <w:p>
      <w:pPr>
        <w:spacing w:after="0" w:line="104" w:lineRule="exact"/>
        <w:rPr>
          <w:sz w:val="20"/>
          <w:szCs w:val="20"/>
          <w:color w:val="auto"/>
        </w:rPr>
      </w:pPr>
    </w:p>
    <w:p>
      <w:pPr>
        <w:jc w:val="both"/>
        <w:ind w:left="1145" w:right="20" w:hanging="281"/>
        <w:spacing w:after="0" w:line="246" w:lineRule="auto"/>
        <w:tabs>
          <w:tab w:leader="none" w:pos="1145" w:val="left"/>
        </w:tabs>
        <w:numPr>
          <w:ilvl w:val="1"/>
          <w:numId w:val="5"/>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Purshe Kaplan Sterling Investments, Inc. (“PKSI”), incorporated in the State of New York, is a broker-dealer registered with the Securities and Exchange Commission (“SEC”) and is a member of the Financial Industry Regulatory Authority (“FINRA”) and the Securities Investors Protection Corporation (“SIPC”).</w:t>
      </w:r>
    </w:p>
    <w:p>
      <w:pPr>
        <w:spacing w:after="0" w:line="120" w:lineRule="exact"/>
        <w:rPr>
          <w:rFonts w:ascii="Courier New" w:cs="Courier New" w:eastAsia="Courier New" w:hAnsi="Courier New"/>
          <w:sz w:val="16"/>
          <w:szCs w:val="16"/>
          <w:color w:val="auto"/>
        </w:rPr>
      </w:pPr>
    </w:p>
    <w:p>
      <w:pPr>
        <w:ind w:left="1145" w:right="20" w:hanging="281"/>
        <w:spacing w:after="0" w:line="250" w:lineRule="auto"/>
        <w:tabs>
          <w:tab w:leader="none" w:pos="1145" w:val="left"/>
        </w:tabs>
        <w:numPr>
          <w:ilvl w:val="1"/>
          <w:numId w:val="5"/>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PKS Advisory Services, LLC (“PKSA”), a New York limited liability company, is an investment advisory firm, registered with the SEC, which provides advisory services to clients.</w:t>
      </w:r>
    </w:p>
    <w:p>
      <w:pPr>
        <w:spacing w:after="0" w:line="116" w:lineRule="exact"/>
        <w:rPr>
          <w:rFonts w:ascii="Courier New" w:cs="Courier New" w:eastAsia="Courier New" w:hAnsi="Courier New"/>
          <w:sz w:val="16"/>
          <w:szCs w:val="16"/>
          <w:color w:val="auto"/>
        </w:rPr>
      </w:pPr>
    </w:p>
    <w:p>
      <w:pPr>
        <w:ind w:left="1145" w:right="20" w:hanging="281"/>
        <w:spacing w:after="0" w:line="250" w:lineRule="auto"/>
        <w:tabs>
          <w:tab w:leader="none" w:pos="1145" w:val="left"/>
        </w:tabs>
        <w:numPr>
          <w:ilvl w:val="1"/>
          <w:numId w:val="5"/>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PKS Financial Services, Inc. (dba, Binah Capital Insurance), incorporated in the State of New York, is an insurance entity providing financial services to clients.</w:t>
      </w:r>
    </w:p>
    <w:p>
      <w:pPr>
        <w:spacing w:after="0" w:line="116" w:lineRule="exact"/>
        <w:rPr>
          <w:rFonts w:ascii="Courier New" w:cs="Courier New" w:eastAsia="Courier New" w:hAnsi="Courier New"/>
          <w:sz w:val="16"/>
          <w:szCs w:val="16"/>
          <w:color w:val="auto"/>
        </w:rPr>
      </w:pPr>
    </w:p>
    <w:p>
      <w:pPr>
        <w:ind w:left="1145" w:right="20" w:hanging="281"/>
        <w:spacing w:after="0" w:line="250" w:lineRule="auto"/>
        <w:tabs>
          <w:tab w:leader="none" w:pos="1145" w:val="left"/>
        </w:tabs>
        <w:numPr>
          <w:ilvl w:val="1"/>
          <w:numId w:val="5"/>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Representatives Indemnity Company, Inc. (“Repco”), incorporated in the British Virgin Islands, holds a general business insurance license for the purpose of providing professional liability insurance coverage for affiliated entities under BMS.</w:t>
      </w:r>
    </w:p>
    <w:p>
      <w:pPr>
        <w:spacing w:after="0" w:line="116" w:lineRule="exact"/>
        <w:rPr>
          <w:rFonts w:ascii="Courier New" w:cs="Courier New" w:eastAsia="Courier New" w:hAnsi="Courier New"/>
          <w:sz w:val="16"/>
          <w:szCs w:val="16"/>
          <w:color w:val="auto"/>
        </w:rPr>
      </w:pPr>
    </w:p>
    <w:p>
      <w:pPr>
        <w:ind w:left="585" w:right="20" w:hanging="281"/>
        <w:spacing w:after="0" w:line="267" w:lineRule="auto"/>
        <w:tabs>
          <w:tab w:leader="none" w:pos="585"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Cabot Lodge Securities LLC maintains offices and branch offices throughout the United States of America and includes the following entities (collectively, the “Cabot Entities”):</w:t>
      </w:r>
    </w:p>
    <w:p>
      <w:pPr>
        <w:spacing w:after="0" w:line="104" w:lineRule="exact"/>
        <w:rPr>
          <w:rFonts w:ascii="Times New Roman" w:cs="Times New Roman" w:eastAsia="Times New Roman" w:hAnsi="Times New Roman"/>
          <w:sz w:val="16"/>
          <w:szCs w:val="16"/>
          <w:color w:val="auto"/>
        </w:rPr>
      </w:pPr>
    </w:p>
    <w:p>
      <w:pPr>
        <w:ind w:left="1145" w:right="20" w:hanging="281"/>
        <w:spacing w:after="0" w:line="250" w:lineRule="auto"/>
        <w:tabs>
          <w:tab w:leader="none" w:pos="1145" w:val="left"/>
        </w:tabs>
        <w:numPr>
          <w:ilvl w:val="1"/>
          <w:numId w:val="5"/>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Cabot Lodge Securities, LLC (“CLS”), a Delaware Limited Liability Company, is a broker-dealer registered with the SEC and is a member of FINRA and SIPC.</w:t>
      </w:r>
    </w:p>
    <w:p>
      <w:pPr>
        <w:spacing w:after="0" w:line="116" w:lineRule="exact"/>
        <w:rPr>
          <w:rFonts w:ascii="Courier New" w:cs="Courier New" w:eastAsia="Courier New" w:hAnsi="Courier New"/>
          <w:sz w:val="16"/>
          <w:szCs w:val="16"/>
          <w:color w:val="auto"/>
        </w:rPr>
      </w:pPr>
    </w:p>
    <w:p>
      <w:pPr>
        <w:ind w:left="1145" w:right="20" w:hanging="281"/>
        <w:spacing w:after="0" w:line="250" w:lineRule="auto"/>
        <w:tabs>
          <w:tab w:leader="none" w:pos="1145" w:val="left"/>
        </w:tabs>
        <w:numPr>
          <w:ilvl w:val="1"/>
          <w:numId w:val="5"/>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CL Wealth Management, LLC (“CLWM”), a Virginia Limited Liability Company, is an investment advisory firm, registered with the SEC, which provides advisory services to clients.</w:t>
      </w:r>
    </w:p>
    <w:p>
      <w:pPr>
        <w:spacing w:after="0" w:line="116" w:lineRule="exact"/>
        <w:rPr>
          <w:rFonts w:ascii="Courier New" w:cs="Courier New" w:eastAsia="Courier New" w:hAnsi="Courier New"/>
          <w:sz w:val="16"/>
          <w:szCs w:val="16"/>
          <w:color w:val="auto"/>
        </w:rPr>
      </w:pPr>
    </w:p>
    <w:p>
      <w:pPr>
        <w:ind w:left="1145" w:right="20" w:hanging="281"/>
        <w:spacing w:after="0" w:line="250" w:lineRule="auto"/>
        <w:tabs>
          <w:tab w:leader="none" w:pos="1145" w:val="left"/>
        </w:tabs>
        <w:numPr>
          <w:ilvl w:val="1"/>
          <w:numId w:val="5"/>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Wentworth Financial Partners LLC (dba, Binah Financial Partners), a Delaware Limited Liability Company, is an insurance entity providing financial services to clients.</w:t>
      </w:r>
    </w:p>
    <w:p>
      <w:pPr>
        <w:spacing w:after="0" w:line="116" w:lineRule="exact"/>
        <w:rPr>
          <w:rFonts w:ascii="Courier New" w:cs="Courier New" w:eastAsia="Courier New" w:hAnsi="Courier New"/>
          <w:sz w:val="16"/>
          <w:szCs w:val="16"/>
          <w:color w:val="auto"/>
        </w:rPr>
      </w:pPr>
    </w:p>
    <w:p>
      <w:pPr>
        <w:ind w:left="585" w:hanging="281"/>
        <w:spacing w:after="0"/>
        <w:tabs>
          <w:tab w:leader="none" w:pos="585"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Michigan Securities, Inc. (“MSI”) maintains offices in Albany, New York and includes the following entities (collectively, the “MSI Entities”):</w:t>
      </w:r>
    </w:p>
    <w:p>
      <w:pPr>
        <w:spacing w:after="0" w:line="142" w:lineRule="exact"/>
        <w:rPr>
          <w:rFonts w:ascii="Times New Roman" w:cs="Times New Roman" w:eastAsia="Times New Roman" w:hAnsi="Times New Roman"/>
          <w:sz w:val="16"/>
          <w:szCs w:val="16"/>
          <w:color w:val="auto"/>
        </w:rPr>
      </w:pPr>
    </w:p>
    <w:p>
      <w:pPr>
        <w:ind w:left="1145" w:right="20" w:hanging="281"/>
        <w:spacing w:after="0" w:line="250" w:lineRule="auto"/>
        <w:tabs>
          <w:tab w:leader="none" w:pos="1145" w:val="left"/>
        </w:tabs>
        <w:numPr>
          <w:ilvl w:val="1"/>
          <w:numId w:val="5"/>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MSI, (d/b/a as Broadstone Securities, Inc., “Broadstone”), incorporated in the State of Michigan, is a financial services firm, and is a broker-dealer registered with the SEC and is a member of FINRA.</w:t>
      </w:r>
    </w:p>
    <w:p>
      <w:pPr>
        <w:spacing w:after="0" w:line="116" w:lineRule="exact"/>
        <w:rPr>
          <w:rFonts w:ascii="Courier New" w:cs="Courier New" w:eastAsia="Courier New" w:hAnsi="Courier New"/>
          <w:sz w:val="16"/>
          <w:szCs w:val="16"/>
          <w:color w:val="auto"/>
        </w:rPr>
      </w:pPr>
    </w:p>
    <w:p>
      <w:pPr>
        <w:ind w:left="1145" w:right="20" w:hanging="281"/>
        <w:spacing w:after="0" w:line="250" w:lineRule="auto"/>
        <w:tabs>
          <w:tab w:leader="none" w:pos="1145" w:val="left"/>
        </w:tabs>
        <w:numPr>
          <w:ilvl w:val="1"/>
          <w:numId w:val="5"/>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Michigan Advisors, Inc., (“MAI”) incorporated in the State of Michigan, was a SEC registered investment advisor. MAI withdrew its registration in September 2021.</w:t>
      </w:r>
    </w:p>
    <w:p>
      <w:pPr>
        <w:spacing w:after="0" w:line="116" w:lineRule="exact"/>
        <w:rPr>
          <w:rFonts w:ascii="Courier New" w:cs="Courier New" w:eastAsia="Courier New" w:hAnsi="Courier New"/>
          <w:sz w:val="16"/>
          <w:szCs w:val="16"/>
          <w:color w:val="auto"/>
        </w:rPr>
      </w:pPr>
    </w:p>
    <w:p>
      <w:pPr>
        <w:ind w:left="1145" w:hanging="281"/>
        <w:spacing w:after="0"/>
        <w:tabs>
          <w:tab w:leader="none" w:pos="1145" w:val="left"/>
        </w:tabs>
        <w:numPr>
          <w:ilvl w:val="1"/>
          <w:numId w:val="5"/>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Insurance Audit Agency, Inc. (“IAA”), incorporated in the state of Michigan, is an insurance agency.</w:t>
      </w:r>
    </w:p>
    <w:p>
      <w:pPr>
        <w:spacing w:after="0" w:line="129" w:lineRule="exact"/>
        <w:rPr>
          <w:rFonts w:ascii="Courier New" w:cs="Courier New" w:eastAsia="Courier New" w:hAnsi="Courier New"/>
          <w:sz w:val="16"/>
          <w:szCs w:val="16"/>
          <w:color w:val="auto"/>
        </w:rPr>
      </w:pPr>
    </w:p>
    <w:p>
      <w:pPr>
        <w:ind w:left="585" w:right="20" w:hanging="281"/>
        <w:spacing w:after="0" w:line="340" w:lineRule="auto"/>
        <w:tabs>
          <w:tab w:leader="none" w:pos="585"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World Equity Group, Inc. (“WEG”), incorporated in the State of Illinois, is registered as a broker-dealer and investment advisor with the SEC and is a member of FINRA and SIPC. WEG maintains offices in Schaumburg, Illinois and has branch offices throughout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308610</wp:posOffset>
            </wp:positionV>
            <wp:extent cx="6306185" cy="222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06185" cy="22225"/>
                    </a:xfrm>
                    <a:prstGeom prst="rect">
                      <a:avLst/>
                    </a:prstGeom>
                    <a:noFill/>
                  </pic:spPr>
                </pic:pic>
              </a:graphicData>
            </a:graphic>
          </wp:anchor>
        </w:drawing>
      </w:r>
    </w:p>
    <w:p>
      <w:pPr>
        <w:sectPr>
          <w:pgSz w:w="11900" w:h="16838" w:orient="portrait"/>
          <w:cols w:equalWidth="0" w:num="1">
            <w:col w:w="9945"/>
          </w:cols>
          <w:pgMar w:left="975" w:top="461" w:right="979" w:bottom="1440" w:gutter="0" w:footer="0" w:header="0"/>
        </w:sectPr>
      </w:pPr>
    </w:p>
    <w:bookmarkStart w:id="10" w:name="page11"/>
    <w:bookmarkEnd w:id="10"/>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left="285" w:hanging="285"/>
        <w:spacing w:after="0"/>
        <w:tabs>
          <w:tab w:leader="none" w:pos="285" w:val="left"/>
        </w:tabs>
        <w:numPr>
          <w:ilvl w:val="0"/>
          <w:numId w:val="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ORGANIZATION, DESCRIPTION OF BUSINESS AND BASIS OF PRESENTATION </w:t>
      </w:r>
      <w:r>
        <w:rPr>
          <w:rFonts w:ascii="Times New Roman" w:cs="Times New Roman" w:eastAsia="Times New Roman" w:hAnsi="Times New Roman"/>
          <w:sz w:val="16"/>
          <w:szCs w:val="16"/>
          <w:b w:val="1"/>
          <w:bCs w:val="1"/>
          <w:i w:val="1"/>
          <w:iCs w:val="1"/>
          <w:color w:val="auto"/>
        </w:rPr>
        <w:t>(continued)</w:t>
      </w:r>
    </w:p>
    <w:p>
      <w:pPr>
        <w:spacing w:after="0" w:line="18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Basis of Presentation</w:t>
      </w:r>
    </w:p>
    <w:p>
      <w:pPr>
        <w:spacing w:after="0" w:line="18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Reverse Recapitalization</w:t>
      </w:r>
    </w:p>
    <w:p>
      <w:pPr>
        <w:spacing w:after="0" w:line="191" w:lineRule="exact"/>
        <w:rPr>
          <w:sz w:val="20"/>
          <w:szCs w:val="20"/>
          <w:color w:val="auto"/>
        </w:rPr>
      </w:pPr>
    </w:p>
    <w:p>
      <w:pPr>
        <w:jc w:val="both"/>
        <w:ind w:left="5"/>
        <w:spacing w:after="0" w:line="245" w:lineRule="auto"/>
        <w:rPr>
          <w:sz w:val="20"/>
          <w:szCs w:val="20"/>
          <w:color w:val="auto"/>
        </w:rPr>
      </w:pPr>
      <w:r>
        <w:rPr>
          <w:rFonts w:ascii="Times New Roman" w:cs="Times New Roman" w:eastAsia="Times New Roman" w:hAnsi="Times New Roman"/>
          <w:sz w:val="16"/>
          <w:szCs w:val="16"/>
          <w:color w:val="auto"/>
        </w:rPr>
        <w:t>On March 15, 2024 (the “Closing Date”), Binah Capital consummated the transactions contemplated by that certain Agreement and Plan of Merger, dated July 7, 2022 (as amended, the “Merger Agreement” and the consummation of such contemplated transactions, the “Closing”), by and among Kingswood Acquisition Corp, a Delaware corporation (“KWAC”), Binah Capital, Kingswood Merger Sub, Inc., a Delaware corporation (“Kingswood Merger Sub”), Wentworth Merger Sub, LLC, a Delaware limited liability company (“Wentworth Merger Sub”), and BMS. Binah Capital, Kingswood Merger Sub and Wentworth Merger Sub were newly formed entities that were formed for the sole purpose of entering into and consummating the transaction set forth in the Merger Agreement. Binah Capital was a wholly-owned direct subsidiary of KWAC and both Kingswood Merger Sub and Wentworth Merger Sub were wholly-owned direct subsidiaries of Binah Capital. On the Closing Date, Kingswood Merger Sub merged with and into KWAC, with KWAC continuing as the surviving entity as a wholly-owned subsidiary of Binah Capital and Wentworth Merger Sub merged with and into BMS, with BMS continuing as the surviving entity as a wholly-owned subsidiary of Binah Capital. Following the Wentworth merger, KWAC acquired, and Binah Capital contributed to KWAC all of the common units of BMS directly held by Binah Capital after the Wentworth merger, such that, following the Binah Capital contribution, BMS became a wholly-owned subsidiary of KWAC.</w:t>
      </w:r>
    </w:p>
    <w:p>
      <w:pPr>
        <w:spacing w:after="0" w:line="175" w:lineRule="exact"/>
        <w:rPr>
          <w:sz w:val="20"/>
          <w:szCs w:val="20"/>
          <w:color w:val="auto"/>
        </w:rPr>
      </w:pPr>
    </w:p>
    <w:p>
      <w:pPr>
        <w:jc w:val="both"/>
        <w:ind w:left="5"/>
        <w:spacing w:after="0" w:line="248" w:lineRule="auto"/>
        <w:rPr>
          <w:sz w:val="20"/>
          <w:szCs w:val="20"/>
          <w:color w:val="auto"/>
        </w:rPr>
      </w:pPr>
      <w:r>
        <w:rPr>
          <w:rFonts w:ascii="Times New Roman" w:cs="Times New Roman" w:eastAsia="Times New Roman" w:hAnsi="Times New Roman"/>
          <w:sz w:val="16"/>
          <w:szCs w:val="16"/>
          <w:color w:val="auto"/>
        </w:rPr>
        <w:t>Notwithstanding the legal form of the Merger pursuant to the Business Combination Agreement, the Merger was accounted for as a reverse recapitalization. Under this method of accounting, KWAC is expected to be treated as the “acquired” company for financial reporting purposes. Accordingly, for accounting purposes, the consolidated financial statements of Binah Capital will represent a continuation of the consolidated financial statements of BMS with the business combination treated as the equivalent of the BMS issuing shares for the net assets of KWAC, accompanied by a recapitalization. The net assets of KWAC will be stated at historical cost, with no goodwill or other intangible assets recorded. Operations prior to the business combination will be those of BMS in future reports of Holdings (See Note 3 – Mergers and Recapitalization).</w:t>
      </w:r>
    </w:p>
    <w:p>
      <w:pPr>
        <w:spacing w:after="0" w:line="16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Unaudited Interim Financial Statements</w:t>
      </w:r>
    </w:p>
    <w:p>
      <w:pPr>
        <w:spacing w:after="0" w:line="191" w:lineRule="exact"/>
        <w:rPr>
          <w:sz w:val="20"/>
          <w:szCs w:val="20"/>
          <w:color w:val="auto"/>
        </w:rPr>
      </w:pPr>
    </w:p>
    <w:p>
      <w:pPr>
        <w:jc w:val="both"/>
        <w:ind w:left="5"/>
        <w:spacing w:after="0" w:line="249" w:lineRule="auto"/>
        <w:rPr>
          <w:sz w:val="20"/>
          <w:szCs w:val="20"/>
          <w:color w:val="auto"/>
        </w:rPr>
      </w:pPr>
      <w:r>
        <w:rPr>
          <w:rFonts w:ascii="Times New Roman" w:cs="Times New Roman" w:eastAsia="Times New Roman" w:hAnsi="Times New Roman"/>
          <w:sz w:val="16"/>
          <w:szCs w:val="16"/>
          <w:color w:val="auto"/>
        </w:rPr>
        <w:t>These unaudited condensed consolidated financial statements (“condensed consolidated financial statements”) are prepared in accordance with accounting principles generally accepted in the United States of America (“GAAP”) and the rules and regulations of the SEC. The unaudited condensed consolidated financial statements have been prepared assuming that the Company will continue as a going concern. The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w:t>
      </w:r>
    </w:p>
    <w:p>
      <w:pPr>
        <w:spacing w:after="0" w:line="166" w:lineRule="exact"/>
        <w:rPr>
          <w:sz w:val="20"/>
          <w:szCs w:val="20"/>
          <w:color w:val="auto"/>
        </w:rPr>
      </w:pPr>
    </w:p>
    <w:p>
      <w:pPr>
        <w:jc w:val="both"/>
        <w:ind w:left="5"/>
        <w:spacing w:after="0" w:line="248" w:lineRule="auto"/>
        <w:rPr>
          <w:sz w:val="20"/>
          <w:szCs w:val="20"/>
          <w:color w:val="auto"/>
        </w:rPr>
      </w:pPr>
      <w:r>
        <w:rPr>
          <w:rFonts w:ascii="Times New Roman" w:cs="Times New Roman" w:eastAsia="Times New Roman" w:hAnsi="Times New Roman"/>
          <w:sz w:val="16"/>
          <w:szCs w:val="16"/>
          <w:color w:val="auto"/>
        </w:rPr>
        <w:t>These condensed consolidated financial statements should be read in conjunction with the audited consolidated financial statements and accompanying notes for the fiscal year ended December 31, 2024. The unaudited condensed consolidated interim financial statements do not include all the information and footnotes required by GAAP for complete financial statements. The results of operations for the three and six months ended June 30, 2025, are not necessarily indicative of the results to be expected for the entire year ending December 31, 2025. The accompanying unaudited condensed consolidated interim financial statements reflect all adjustments, consisting of normal recurring adjustments, that are, in the opinion of management, necessary to a fair statement of the results for the interim periods presented.</w:t>
      </w:r>
    </w:p>
    <w:p>
      <w:pPr>
        <w:spacing w:after="0" w:line="16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Principles of Consolidation</w:t>
      </w:r>
    </w:p>
    <w:p>
      <w:pPr>
        <w:spacing w:after="0" w:line="191" w:lineRule="exact"/>
        <w:rPr>
          <w:sz w:val="20"/>
          <w:szCs w:val="20"/>
          <w:color w:val="auto"/>
        </w:rPr>
      </w:pPr>
    </w:p>
    <w:p>
      <w:pPr>
        <w:jc w:val="both"/>
        <w:ind w:left="5" w:right="20"/>
        <w:spacing w:after="0" w:line="267" w:lineRule="auto"/>
        <w:rPr>
          <w:sz w:val="20"/>
          <w:szCs w:val="20"/>
          <w:color w:val="auto"/>
        </w:rPr>
      </w:pPr>
      <w:r>
        <w:rPr>
          <w:rFonts w:ascii="Times New Roman" w:cs="Times New Roman" w:eastAsia="Times New Roman" w:hAnsi="Times New Roman"/>
          <w:sz w:val="16"/>
          <w:szCs w:val="16"/>
          <w:color w:val="auto"/>
        </w:rPr>
        <w:t>The accompanying condensed consolidated financial statements include the accounts of Holdings and its wholly owned subsidiaries. Significant inter-company transactions and balances have been eliminated in consolidation.</w:t>
      </w:r>
    </w:p>
    <w:p>
      <w:pPr>
        <w:spacing w:after="0" w:line="14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Reportable Segment</w:t>
      </w:r>
    </w:p>
    <w:p>
      <w:pPr>
        <w:spacing w:after="0" w:line="191" w:lineRule="exact"/>
        <w:rPr>
          <w:sz w:val="20"/>
          <w:szCs w:val="20"/>
          <w:color w:val="auto"/>
        </w:rPr>
      </w:pPr>
    </w:p>
    <w:p>
      <w:pPr>
        <w:jc w:val="both"/>
        <w:ind w:left="5" w:right="20"/>
        <w:spacing w:after="0" w:line="267" w:lineRule="auto"/>
        <w:rPr>
          <w:sz w:val="20"/>
          <w:szCs w:val="20"/>
          <w:color w:val="auto"/>
        </w:rPr>
      </w:pPr>
      <w:r>
        <w:rPr>
          <w:rFonts w:ascii="Times New Roman" w:cs="Times New Roman" w:eastAsia="Times New Roman" w:hAnsi="Times New Roman"/>
          <w:sz w:val="16"/>
          <w:szCs w:val="16"/>
          <w:color w:val="auto"/>
        </w:rPr>
        <w:t xml:space="preserve">Management has determined that the Company operates in one segment, given the common nature of its operations, products and services, production and distribution process and regulatory environment. For additional information, see Note 18 - </w:t>
      </w:r>
      <w:r>
        <w:rPr>
          <w:rFonts w:ascii="Times New Roman" w:cs="Times New Roman" w:eastAsia="Times New Roman" w:hAnsi="Times New Roman"/>
          <w:sz w:val="16"/>
          <w:szCs w:val="16"/>
          <w:i w:val="1"/>
          <w:iCs w:val="1"/>
          <w:color w:val="auto"/>
        </w:rPr>
        <w:t>Segment Information</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308610</wp:posOffset>
            </wp:positionV>
            <wp:extent cx="6306185" cy="14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06185" cy="14605"/>
                    </a:xfrm>
                    <a:prstGeom prst="rect">
                      <a:avLst/>
                    </a:prstGeom>
                    <a:noFill/>
                  </pic:spPr>
                </pic:pic>
              </a:graphicData>
            </a:graphic>
          </wp:anchor>
        </w:drawing>
      </w:r>
    </w:p>
    <w:p>
      <w:pPr>
        <w:sectPr>
          <w:pgSz w:w="11900" w:h="16838" w:orient="portrait"/>
          <w:cols w:equalWidth="0" w:num="1">
            <w:col w:w="9945"/>
          </w:cols>
          <w:pgMar w:left="975" w:top="461" w:right="979" w:bottom="1440" w:gutter="0" w:footer="0" w:header="0"/>
        </w:sectPr>
      </w:pPr>
    </w:p>
    <w:bookmarkStart w:id="11" w:name="page12"/>
    <w:bookmarkEnd w:id="11"/>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left="5" w:right="5600" w:hanging="5"/>
        <w:spacing w:after="0" w:line="488" w:lineRule="auto"/>
        <w:tabs>
          <w:tab w:leader="none" w:pos="285" w:val="left"/>
        </w:tabs>
        <w:numPr>
          <w:ilvl w:val="0"/>
          <w:numId w:val="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Use of Estimates and Assumptions</w:t>
      </w:r>
    </w:p>
    <w:p>
      <w:pPr>
        <w:spacing w:after="0" w:line="1" w:lineRule="exact"/>
        <w:rPr>
          <w:sz w:val="20"/>
          <w:szCs w:val="20"/>
          <w:color w:val="auto"/>
        </w:rPr>
      </w:pPr>
    </w:p>
    <w:p>
      <w:pPr>
        <w:jc w:val="both"/>
        <w:ind w:left="5" w:right="20"/>
        <w:spacing w:after="0" w:line="251" w:lineRule="auto"/>
        <w:rPr>
          <w:sz w:val="20"/>
          <w:szCs w:val="20"/>
          <w:color w:val="auto"/>
        </w:rPr>
      </w:pPr>
      <w:r>
        <w:rPr>
          <w:rFonts w:ascii="Times New Roman" w:cs="Times New Roman" w:eastAsia="Times New Roman" w:hAnsi="Times New Roman"/>
          <w:sz w:val="16"/>
          <w:szCs w:val="16"/>
          <w:color w:val="auto"/>
        </w:rPr>
        <w:t>The preparation of the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 and expenses during the reporting period. Actual results could differ from those estimates. Significant estimates include the valuation and impairments of intangible assets and deferred income taxes, allowance for credit losses, and contingencies.</w:t>
      </w:r>
    </w:p>
    <w:p>
      <w:pPr>
        <w:spacing w:after="0" w:line="16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191" w:lineRule="exact"/>
        <w:rPr>
          <w:sz w:val="20"/>
          <w:szCs w:val="20"/>
          <w:color w:val="auto"/>
        </w:rPr>
      </w:pPr>
    </w:p>
    <w:p>
      <w:pPr>
        <w:jc w:val="both"/>
        <w:ind w:left="5" w:right="20"/>
        <w:spacing w:after="0" w:line="255" w:lineRule="auto"/>
        <w:rPr>
          <w:sz w:val="20"/>
          <w:szCs w:val="20"/>
          <w:color w:val="auto"/>
        </w:rPr>
      </w:pPr>
      <w:r>
        <w:rPr>
          <w:rFonts w:ascii="Times New Roman" w:cs="Times New Roman" w:eastAsia="Times New Roman" w:hAnsi="Times New Roman"/>
          <w:sz w:val="16"/>
          <w:szCs w:val="16"/>
          <w:color w:val="auto"/>
        </w:rPr>
        <w:t xml:space="preserve">Revenues from contracts with customers are recognized when control of the promised services is transferred to customers, in an amount that reflects the consideration the Company expects to be entitled to in exchange for those services. For additional information see Note 4 - </w:t>
      </w:r>
      <w:r>
        <w:rPr>
          <w:rFonts w:ascii="Times New Roman" w:cs="Times New Roman" w:eastAsia="Times New Roman" w:hAnsi="Times New Roman"/>
          <w:sz w:val="16"/>
          <w:szCs w:val="16"/>
          <w:i w:val="1"/>
          <w:iCs w:val="1"/>
          <w:color w:val="auto"/>
        </w:rPr>
        <w:t>Revenues From Contracts with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Customers.</w:t>
      </w:r>
    </w:p>
    <w:p>
      <w:pPr>
        <w:spacing w:after="0" w:line="15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Share-Based Compensation</w:t>
      </w:r>
    </w:p>
    <w:p>
      <w:pPr>
        <w:spacing w:after="0" w:line="191" w:lineRule="exact"/>
        <w:rPr>
          <w:sz w:val="20"/>
          <w:szCs w:val="20"/>
          <w:color w:val="auto"/>
        </w:rPr>
      </w:pPr>
    </w:p>
    <w:p>
      <w:pPr>
        <w:jc w:val="both"/>
        <w:ind w:left="5" w:right="20"/>
        <w:spacing w:after="0" w:line="255" w:lineRule="auto"/>
        <w:rPr>
          <w:sz w:val="20"/>
          <w:szCs w:val="20"/>
          <w:color w:val="auto"/>
        </w:rPr>
      </w:pPr>
      <w:r>
        <w:rPr>
          <w:rFonts w:ascii="Times New Roman" w:cs="Times New Roman" w:eastAsia="Times New Roman" w:hAnsi="Times New Roman"/>
          <w:sz w:val="16"/>
          <w:szCs w:val="16"/>
          <w:color w:val="auto"/>
        </w:rPr>
        <w:t>Certain employees, officers and directors participate in the Company’s long-term incentive plan that provide for granting stock options, restricted stock awards, and restricted stock units. Stock options and restricted stock units generally vest in equal increments over a three-year period and expire on the tenth anniversary following the date of grant. Restricted stock awards generally vest upon grant or up to a three-year period.</w:t>
      </w:r>
    </w:p>
    <w:p>
      <w:pPr>
        <w:spacing w:after="0" w:line="160" w:lineRule="exact"/>
        <w:rPr>
          <w:sz w:val="20"/>
          <w:szCs w:val="20"/>
          <w:color w:val="auto"/>
        </w:rPr>
      </w:pPr>
    </w:p>
    <w:p>
      <w:pPr>
        <w:jc w:val="both"/>
        <w:ind w:left="5"/>
        <w:spacing w:after="0" w:line="249" w:lineRule="auto"/>
        <w:rPr>
          <w:sz w:val="20"/>
          <w:szCs w:val="20"/>
          <w:color w:val="auto"/>
        </w:rPr>
      </w:pPr>
      <w:r>
        <w:rPr>
          <w:rFonts w:ascii="Times New Roman" w:cs="Times New Roman" w:eastAsia="Times New Roman" w:hAnsi="Times New Roman"/>
          <w:sz w:val="16"/>
          <w:szCs w:val="16"/>
          <w:color w:val="auto"/>
        </w:rPr>
        <w:t>The Company recognizes share-based compensation for equity awards granted to employees, officers and directors as compensation and benefits expense on the consolidated statements of operations. The fair value of restricted stock awards and restricted stock units is equal to the closing price of the Company’s stock on the date of grant. Stock options are generally granted at the market price at the date of the grant, with vesting based on three years of continuous service. The fair value of the options is estimated using the Black-Sholes model. Share-based compensation is recognized over the requisite service period of the individual awards, which generally equals the vesting period.</w:t>
      </w:r>
    </w:p>
    <w:p>
      <w:pPr>
        <w:spacing w:after="0" w:line="166" w:lineRule="exact"/>
        <w:rPr>
          <w:sz w:val="20"/>
          <w:szCs w:val="20"/>
          <w:color w:val="auto"/>
        </w:rPr>
      </w:pPr>
    </w:p>
    <w:p>
      <w:pPr>
        <w:jc w:val="both"/>
        <w:ind w:left="5"/>
        <w:spacing w:after="0" w:line="251" w:lineRule="auto"/>
        <w:rPr>
          <w:sz w:val="20"/>
          <w:szCs w:val="20"/>
          <w:color w:val="auto"/>
        </w:rPr>
      </w:pPr>
      <w:r>
        <w:rPr>
          <w:rFonts w:ascii="Times New Roman" w:cs="Times New Roman" w:eastAsia="Times New Roman" w:hAnsi="Times New Roman"/>
          <w:sz w:val="16"/>
          <w:szCs w:val="16"/>
          <w:color w:val="auto"/>
        </w:rPr>
        <w:t xml:space="preserve">The Company makes assumptions regarding the number of restricted stock awards and restricted stock units that will be forfeited. The forfeiture assumption is ultimately adjusted to the actual forfeiture rate. As a result, changes in the forfeiture assumptions do not impact the total amount of expense ultimately recognized over the service period. Rather, different forfeiture assumptions would only impact the timing of expense recognition over the service period. See Note 10 - </w:t>
      </w:r>
      <w:r>
        <w:rPr>
          <w:rFonts w:ascii="Times New Roman" w:cs="Times New Roman" w:eastAsia="Times New Roman" w:hAnsi="Times New Roman"/>
          <w:sz w:val="16"/>
          <w:szCs w:val="16"/>
          <w:i w:val="1"/>
          <w:iCs w:val="1"/>
          <w:color w:val="auto"/>
        </w:rPr>
        <w:t>Share-Based Compensation</w:t>
      </w:r>
      <w:r>
        <w:rPr>
          <w:rFonts w:ascii="Times New Roman" w:cs="Times New Roman" w:eastAsia="Times New Roman" w:hAnsi="Times New Roman"/>
          <w:sz w:val="16"/>
          <w:szCs w:val="16"/>
          <w:color w:val="auto"/>
        </w:rPr>
        <w:t xml:space="preserve"> for additional information regarding share-based compensation for equity awards granted.</w:t>
      </w:r>
    </w:p>
    <w:p>
      <w:pPr>
        <w:spacing w:after="0" w:line="16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w:t>
      </w:r>
    </w:p>
    <w:p>
      <w:pPr>
        <w:spacing w:after="0" w:line="19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Cash and cash equivalents consist primarily of cash on deposit and money market funds, all of which have original maturities of three months or less.</w:t>
      </w:r>
    </w:p>
    <w:p>
      <w:pPr>
        <w:spacing w:after="0" w:line="189" w:lineRule="exact"/>
        <w:rPr>
          <w:sz w:val="20"/>
          <w:szCs w:val="20"/>
          <w:color w:val="auto"/>
        </w:rPr>
      </w:pPr>
    </w:p>
    <w:p>
      <w:pPr>
        <w:jc w:val="both"/>
        <w:ind w:left="5"/>
        <w:spacing w:after="0" w:line="267" w:lineRule="auto"/>
        <w:rPr>
          <w:sz w:val="20"/>
          <w:szCs w:val="20"/>
          <w:color w:val="auto"/>
        </w:rPr>
      </w:pPr>
      <w:r>
        <w:rPr>
          <w:rFonts w:ascii="Times New Roman" w:cs="Times New Roman" w:eastAsia="Times New Roman" w:hAnsi="Times New Roman"/>
          <w:sz w:val="16"/>
          <w:szCs w:val="16"/>
          <w:color w:val="auto"/>
        </w:rPr>
        <w:t>Restricted cash represents cash held by the Company’s lender related to its credit facility. As of June 30, 2025 and December 31, 2024, restricted cash amounted to $1.0 million.</w:t>
      </w:r>
    </w:p>
    <w:p>
      <w:pPr>
        <w:spacing w:after="0" w:line="151" w:lineRule="exact"/>
        <w:rPr>
          <w:sz w:val="20"/>
          <w:szCs w:val="20"/>
          <w:color w:val="auto"/>
        </w:rPr>
      </w:pPr>
    </w:p>
    <w:p>
      <w:pPr>
        <w:jc w:val="both"/>
        <w:ind w:left="5" w:right="20"/>
        <w:spacing w:after="0" w:line="267" w:lineRule="auto"/>
        <w:rPr>
          <w:sz w:val="20"/>
          <w:szCs w:val="20"/>
          <w:color w:val="auto"/>
        </w:rPr>
      </w:pPr>
      <w:r>
        <w:rPr>
          <w:rFonts w:ascii="Times New Roman" w:cs="Times New Roman" w:eastAsia="Times New Roman" w:hAnsi="Times New Roman"/>
          <w:sz w:val="16"/>
          <w:szCs w:val="16"/>
          <w:color w:val="auto"/>
        </w:rPr>
        <w:t>The Company regularly maintains cash, cash equivalents and restricted cash that exceed Federal Deposit Insurance Corporation limits. The Company has not experienced any losses and does not believe it is exposed to any significant credit risk from cash.</w:t>
      </w:r>
    </w:p>
    <w:p>
      <w:pPr>
        <w:spacing w:after="0" w:line="14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Receivables</w:t>
      </w:r>
    </w:p>
    <w:p>
      <w:pPr>
        <w:spacing w:after="0" w:line="191" w:lineRule="exact"/>
        <w:rPr>
          <w:sz w:val="20"/>
          <w:szCs w:val="20"/>
          <w:color w:val="auto"/>
        </w:rPr>
      </w:pPr>
    </w:p>
    <w:p>
      <w:pPr>
        <w:jc w:val="both"/>
        <w:ind w:left="5" w:right="20"/>
        <w:spacing w:after="0" w:line="267" w:lineRule="auto"/>
        <w:rPr>
          <w:sz w:val="20"/>
          <w:szCs w:val="20"/>
          <w:color w:val="auto"/>
        </w:rPr>
      </w:pPr>
      <w:r>
        <w:rPr>
          <w:rFonts w:ascii="Times New Roman" w:cs="Times New Roman" w:eastAsia="Times New Roman" w:hAnsi="Times New Roman"/>
          <w:sz w:val="16"/>
          <w:szCs w:val="16"/>
          <w:color w:val="auto"/>
        </w:rPr>
        <w:t>Receivables represent amounts due to the Company from its clearing brokers, clients, financial institutions and others. Receivables consists of unconditional amounts due and are reported at amortized costs. All receivables are uncollateralized.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308610</wp:posOffset>
            </wp:positionV>
            <wp:extent cx="6306185" cy="14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06185" cy="14605"/>
                    </a:xfrm>
                    <a:prstGeom prst="rect">
                      <a:avLst/>
                    </a:prstGeom>
                    <a:noFill/>
                  </pic:spPr>
                </pic:pic>
              </a:graphicData>
            </a:graphic>
          </wp:anchor>
        </w:drawing>
      </w:r>
    </w:p>
    <w:p>
      <w:pPr>
        <w:sectPr>
          <w:pgSz w:w="11900" w:h="16838" w:orient="portrait"/>
          <w:cols w:equalWidth="0" w:num="1">
            <w:col w:w="9945"/>
          </w:cols>
          <w:pgMar w:left="975" w:top="461" w:right="979" w:bottom="1440" w:gutter="0" w:footer="0" w:header="0"/>
        </w:sectPr>
      </w:pPr>
    </w:p>
    <w:bookmarkStart w:id="12" w:name="page13"/>
    <w:bookmarkEnd w:id="12"/>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ind w:left="285" w:hanging="285"/>
        <w:spacing w:after="0"/>
        <w:tabs>
          <w:tab w:leader="none" w:pos="285"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SUMMARY OF SIGNIFICANT ACCOUNTING POLICIES </w:t>
      </w:r>
      <w:r>
        <w:rPr>
          <w:rFonts w:ascii="Times New Roman" w:cs="Times New Roman" w:eastAsia="Times New Roman" w:hAnsi="Times New Roman"/>
          <w:sz w:val="17"/>
          <w:szCs w:val="17"/>
          <w:b w:val="1"/>
          <w:bCs w:val="1"/>
          <w:i w:val="1"/>
          <w:iCs w:val="1"/>
          <w:color w:val="auto"/>
        </w:rPr>
        <w:t>(continued)</w:t>
      </w:r>
    </w:p>
    <w:p>
      <w:pPr>
        <w:spacing w:after="0" w:line="196" w:lineRule="exact"/>
        <w:rPr>
          <w:sz w:val="20"/>
          <w:szCs w:val="20"/>
          <w:color w:val="auto"/>
        </w:rPr>
      </w:pPr>
    </w:p>
    <w:p>
      <w:pPr>
        <w:jc w:val="both"/>
        <w:ind w:left="5"/>
        <w:spacing w:after="0" w:line="246" w:lineRule="auto"/>
        <w:rPr>
          <w:sz w:val="20"/>
          <w:szCs w:val="20"/>
          <w:color w:val="auto"/>
        </w:rPr>
      </w:pPr>
      <w:r>
        <w:rPr>
          <w:rFonts w:ascii="Times New Roman" w:cs="Times New Roman" w:eastAsia="Times New Roman" w:hAnsi="Times New Roman"/>
          <w:sz w:val="16"/>
          <w:szCs w:val="16"/>
          <w:b w:val="1"/>
          <w:bCs w:val="1"/>
          <w:i w:val="1"/>
          <w:iCs w:val="1"/>
          <w:color w:val="auto"/>
        </w:rPr>
        <w:t>Financial Instruments – Credit Losses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Company accounts for estimated credit losses on financial assets measured at an amortized cost basis and certain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off-balance sheet credit exposures in accordance with Financial Accounting Standards Board (“FASB”) Accounting Standards Codification (“ASC”) 326-20, </w:t>
      </w:r>
      <w:r>
        <w:rPr>
          <w:rFonts w:ascii="Times New Roman" w:cs="Times New Roman" w:eastAsia="Times New Roman" w:hAnsi="Times New Roman"/>
          <w:sz w:val="16"/>
          <w:szCs w:val="16"/>
          <w:i w:val="1"/>
          <w:iCs w:val="1"/>
          <w:color w:val="auto"/>
        </w:rPr>
        <w:t>Financial Instruments-Credit Losses</w:t>
      </w:r>
      <w:r>
        <w:rPr>
          <w:rFonts w:ascii="Times New Roman" w:cs="Times New Roman" w:eastAsia="Times New Roman" w:hAnsi="Times New Roman"/>
          <w:sz w:val="16"/>
          <w:szCs w:val="16"/>
          <w:color w:val="auto"/>
        </w:rPr>
        <w:t>. FASB ASC 326-20 requires the Company to estimate expected credit losses over the life of its financial assets and certain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off-balance sheet exposures as of the reporting date based on relevant information about past events, current conditions, and reasonable and supportable forecasts. The Company records the estimate of expected credit losses as an allowance for credit losses. For financial assets measured at an amortized cost basis the allowance for credit losses is reported as a valuation account on the statement of financial condition that adjusts the asset’s amortized cost basis. Changes in the allowance for credit losses are reported in credit loss expense, if applicable. Management believes its risk of loss on currently recorded receivables is minimal and accordingly an allowance for credit losses has been recorded as of June 30, 2025, and December 31, 2024, and January 1, 2024 in the amount of $0.7 million, $0.7 million and $0.2 million, respectively.</w:t>
      </w:r>
    </w:p>
    <w:p>
      <w:pPr>
        <w:spacing w:after="0" w:line="17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Goodwill and Other Intangible Assets</w:t>
      </w:r>
    </w:p>
    <w:p>
      <w:pPr>
        <w:spacing w:after="0" w:line="191" w:lineRule="exact"/>
        <w:rPr>
          <w:sz w:val="20"/>
          <w:szCs w:val="20"/>
          <w:color w:val="auto"/>
        </w:rPr>
      </w:pPr>
    </w:p>
    <w:p>
      <w:pPr>
        <w:jc w:val="both"/>
        <w:ind w:left="5" w:right="20"/>
        <w:spacing w:after="0" w:line="299" w:lineRule="auto"/>
        <w:rPr>
          <w:sz w:val="20"/>
          <w:szCs w:val="20"/>
          <w:color w:val="auto"/>
        </w:rPr>
      </w:pPr>
      <w:r>
        <w:rPr>
          <w:rFonts w:ascii="Times New Roman" w:cs="Times New Roman" w:eastAsia="Times New Roman" w:hAnsi="Times New Roman"/>
          <w:sz w:val="14"/>
          <w:szCs w:val="14"/>
          <w:color w:val="auto"/>
        </w:rPr>
        <w:t>Goodwill is tested annually for impairment or if certain events occur indicating that the carrying amounts may be impaired. If a qualitative assessment is used and the Company determines that the fair value of a reporting unit is more likely than not (i.e., a likelihood of more than 50%) less than its carrying amount, a quantitative impairment test will be performed. An impairment loss will be recognized if a reporting unit’s carrying amount exceeds its fair value, to the extent that it does not exceed the total carrying amount of goodwill. No impairment of goodwill was recognized for the periods ended June 30, 2025 and 2024.</w:t>
      </w:r>
    </w:p>
    <w:p>
      <w:pPr>
        <w:spacing w:after="0" w:line="131" w:lineRule="exact"/>
        <w:rPr>
          <w:sz w:val="20"/>
          <w:szCs w:val="20"/>
          <w:color w:val="auto"/>
        </w:rPr>
      </w:pPr>
    </w:p>
    <w:p>
      <w:pPr>
        <w:jc w:val="both"/>
        <w:ind w:left="5"/>
        <w:spacing w:after="0" w:line="249" w:lineRule="auto"/>
        <w:rPr>
          <w:sz w:val="20"/>
          <w:szCs w:val="20"/>
          <w:color w:val="auto"/>
        </w:rPr>
      </w:pPr>
      <w:r>
        <w:rPr>
          <w:rFonts w:ascii="Times New Roman" w:cs="Times New Roman" w:eastAsia="Times New Roman" w:hAnsi="Times New Roman"/>
          <w:sz w:val="16"/>
          <w:szCs w:val="16"/>
          <w:color w:val="auto"/>
        </w:rPr>
        <w:t>Intangible assets that are deemed to have definite lives are amortized over their useful lives, generally ranging from 5 to 10 years. They are reviewed for impairment when there is evidence that events or changes in circumstances indicate that the carrying amount may not be recoverable. Recoverability of assets to be held and used is measured by comparing the carrying amount to the estimated undiscounted future cash flows expected to be generated. If the carrying amount of an asset exceeds its estimated future cash flows, an impairment charge is recognized for the amount by which the carrying amount of the asset exceeds the estimated fair value.</w:t>
      </w:r>
    </w:p>
    <w:p>
      <w:pPr>
        <w:spacing w:after="0" w:line="16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There was no impairment of intangible assets recognized for the periods ended June 30, 2025 and 2024.</w:t>
      </w:r>
    </w:p>
    <w:p>
      <w:pPr>
        <w:spacing w:after="0" w:line="18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191" w:lineRule="exact"/>
        <w:rPr>
          <w:sz w:val="20"/>
          <w:szCs w:val="20"/>
          <w:color w:val="auto"/>
        </w:rPr>
      </w:pPr>
    </w:p>
    <w:p>
      <w:pPr>
        <w:jc w:val="both"/>
        <w:ind w:left="5"/>
        <w:spacing w:after="0" w:line="248" w:lineRule="auto"/>
        <w:rPr>
          <w:sz w:val="20"/>
          <w:szCs w:val="20"/>
          <w:color w:val="auto"/>
        </w:rPr>
      </w:pPr>
      <w:r>
        <w:rPr>
          <w:rFonts w:ascii="Times New Roman" w:cs="Times New Roman" w:eastAsia="Times New Roman" w:hAnsi="Times New Roman"/>
          <w:sz w:val="16"/>
          <w:szCs w:val="16"/>
          <w:color w:val="auto"/>
        </w:rPr>
        <w:t>Income taxes are accounted for under an asset and liability approach. This process involves calculating the temporary and permanent differences between the carrying amounts of the assets and liabilities for financial reporting purposes and the amounts used for income tax purposes. The temporary differences result in deferred tax assets and liabilities, which are recorded on the consolidated balance sheet in accordance with FASB ASC 740, Income Taxes (“ASC 740”), which established financial accounting and reporting standards for the effects of income taxes. The likelihood that deferred tax assets will be recovered from future taxable income must be assessed and, to the extent that recovery is not likely, a valuation allowance is established. Changes in the valuation allowance in a period are recorded through the income tax provision in the condensed consolidated statements of operations.</w:t>
      </w:r>
    </w:p>
    <w:p>
      <w:pPr>
        <w:spacing w:after="0" w:line="166" w:lineRule="exact"/>
        <w:rPr>
          <w:sz w:val="20"/>
          <w:szCs w:val="20"/>
          <w:color w:val="auto"/>
        </w:rPr>
      </w:pPr>
    </w:p>
    <w:p>
      <w:pPr>
        <w:jc w:val="both"/>
        <w:ind w:left="5"/>
        <w:spacing w:after="0" w:line="249" w:lineRule="auto"/>
        <w:rPr>
          <w:sz w:val="20"/>
          <w:szCs w:val="20"/>
          <w:color w:val="auto"/>
        </w:rPr>
      </w:pPr>
      <w:r>
        <w:rPr>
          <w:rFonts w:ascii="Times New Roman" w:cs="Times New Roman" w:eastAsia="Times New Roman" w:hAnsi="Times New Roman"/>
          <w:sz w:val="16"/>
          <w:szCs w:val="16"/>
          <w:color w:val="auto"/>
        </w:rPr>
        <w:t>ASC 740-10 clarifies the accounting for uncertainty in income taxes recognized in an entity’s financial statements and prescribes a recognition threshold and measurement attributes for financial statement disclosure of tax positions taken or expected to be taken on an income tax return. Under ASC 740-10, the impact of an uncertain tax position on the income tax return must be recognized at the largest amount that is more-likely-than-not to be sustained upon audit by the relevant taxing authority. An uncertain tax position will not be recognized if it has less than a 50% likelihood of being sustained. Additionally, ASC 740-10 provides guidance on derecognition, classification, interest and penalties, accounting in interim periods, disclosure, and transition.</w:t>
      </w:r>
    </w:p>
    <w:p>
      <w:pPr>
        <w:spacing w:after="0" w:line="166" w:lineRule="exact"/>
        <w:rPr>
          <w:sz w:val="20"/>
          <w:szCs w:val="20"/>
          <w:color w:val="auto"/>
        </w:rPr>
      </w:pPr>
    </w:p>
    <w:p>
      <w:pPr>
        <w:jc w:val="both"/>
        <w:ind w:left="5" w:right="20"/>
        <w:spacing w:after="0" w:line="255" w:lineRule="auto"/>
        <w:rPr>
          <w:sz w:val="20"/>
          <w:szCs w:val="20"/>
          <w:color w:val="auto"/>
        </w:rPr>
      </w:pPr>
      <w:r>
        <w:rPr>
          <w:rFonts w:ascii="Times New Roman" w:cs="Times New Roman" w:eastAsia="Times New Roman" w:hAnsi="Times New Roman"/>
          <w:sz w:val="16"/>
          <w:szCs w:val="16"/>
          <w:color w:val="auto"/>
        </w:rPr>
        <w:t>For the periods prior to the Reverse Merger and Recapitalization, BMS was treated as a partnership for income tax purposes and therefore not subject to federal taxes. BMS was subject to certain state and local income taxes. Additionally, Binah Capital Corp. (fka, Kingswood Acquisition Corp.) was treated as a corporation and subject to U.S. federal income taxes, in addition to state and local income taxes.</w:t>
      </w:r>
    </w:p>
    <w:p>
      <w:pPr>
        <w:spacing w:after="0" w:line="160" w:lineRule="exact"/>
        <w:rPr>
          <w:sz w:val="20"/>
          <w:szCs w:val="20"/>
          <w:color w:val="auto"/>
        </w:rPr>
      </w:pPr>
    </w:p>
    <w:p>
      <w:pPr>
        <w:jc w:val="both"/>
        <w:ind w:left="5"/>
        <w:spacing w:after="0" w:line="255" w:lineRule="auto"/>
        <w:rPr>
          <w:sz w:val="20"/>
          <w:szCs w:val="20"/>
          <w:color w:val="auto"/>
        </w:rPr>
      </w:pPr>
      <w:r>
        <w:rPr>
          <w:rFonts w:ascii="Times New Roman" w:cs="Times New Roman" w:eastAsia="Times New Roman" w:hAnsi="Times New Roman"/>
          <w:sz w:val="16"/>
          <w:szCs w:val="16"/>
          <w:color w:val="auto"/>
        </w:rPr>
        <w:t>Subsequent to the Reverse Merger and Recapitalization, Binah Capital Corp., a wholly-owned subsidiary of Holdings, is the parent company of BMS. Subsequent to the Reverse Merger and Recapitalization, BMS elected to be treated as a corporation and is subject to U.S. federal income taxes, in addition to state and local income taxes.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308610</wp:posOffset>
            </wp:positionV>
            <wp:extent cx="6306185" cy="14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06185" cy="14605"/>
                    </a:xfrm>
                    <a:prstGeom prst="rect">
                      <a:avLst/>
                    </a:prstGeom>
                    <a:noFill/>
                  </pic:spPr>
                </pic:pic>
              </a:graphicData>
            </a:graphic>
          </wp:anchor>
        </w:drawing>
      </w:r>
    </w:p>
    <w:p>
      <w:pPr>
        <w:sectPr>
          <w:pgSz w:w="11900" w:h="16838" w:orient="portrait"/>
          <w:cols w:equalWidth="0" w:num="1">
            <w:col w:w="9945"/>
          </w:cols>
          <w:pgMar w:left="975" w:top="461" w:right="9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7"/>
          <w:szCs w:val="17"/>
          <w:b w:val="1"/>
          <w:bCs w:val="1"/>
          <w:color w:val="auto"/>
        </w:rPr>
        <w:t>2.</w:t>
        <w:tab/>
        <w:t xml:space="preserve">SUMMARY OF SIGNIFICANT ACCOUNTING POLICIES </w:t>
      </w:r>
      <w:r>
        <w:rPr>
          <w:rFonts w:ascii="Times New Roman" w:cs="Times New Roman" w:eastAsia="Times New Roman" w:hAnsi="Times New Roman"/>
          <w:sz w:val="17"/>
          <w:szCs w:val="17"/>
          <w:b w:val="1"/>
          <w:bCs w:val="1"/>
          <w:i w:val="1"/>
          <w:iCs w:val="1"/>
          <w:color w:val="auto"/>
        </w:rPr>
        <w:t>(continued)</w:t>
      </w:r>
    </w:p>
    <w:p>
      <w:pPr>
        <w:spacing w:after="0" w:line="1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Binah Capital Group, Inc., Binah Capital Corp., BMS, the PKSH Entities, Cabot Entities and WEG are taxable entities subject to federal, state, and local income taxes. Therefore, these condensed consolidated financial statements include an income tax provision for the taxable entities only. Deferred tax assets and liabilities are recognized for the future tax consequences attributable to differences between the financial statement carrying amount of existing assets and liabilities and their respective tax bases and net operating loss carryforwards.</w:t>
      </w:r>
    </w:p>
    <w:p>
      <w:pPr>
        <w:spacing w:after="0" w:line="164"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6"/>
          <w:szCs w:val="16"/>
          <w:color w:val="auto"/>
        </w:rPr>
        <w:t>Deferred tax assets and liabilities are measured using enacted tax rates expected to apply to taxable income in the years in which those temporary differences are expected to be recovered or settled. The Company periodically evaluates deferred tax assets and net operating loss carryforwards to determine their recoverability based primarily on the Company’s ability to generate future taxable income. A valuation allowance may be established to reduce deferred tax assets, if it is more likely than not that all, or some portion, of such deferred tax assets will not be realized.</w:t>
      </w:r>
    </w:p>
    <w:p>
      <w:pPr>
        <w:spacing w:after="0" w:line="164"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6"/>
          <w:szCs w:val="16"/>
          <w:color w:val="auto"/>
        </w:rPr>
        <w:t>The Company accounts for taxes in accordance with the asset and liability method of accounting for income taxes. Under this method, the Company must recognize the tax benefit from an uncertain tax position only if it is “more likely than not” that the tax position will be sustained on examination by the taxing authorities, based on the technical merits of the position. The tax benefits recognized in the condensed consolidated financial statements from such a position are measured based on the largest benefit that has a greater than 50% likelihood of being realized upon ultimate resolution.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Income (Loss) Per Share</w:t>
      </w:r>
    </w:p>
    <w:p>
      <w:pPr>
        <w:spacing w:after="0" w:line="191"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6"/>
          <w:szCs w:val="16"/>
          <w:color w:val="auto"/>
        </w:rPr>
        <w:t>Basic earnings per share of common stock is computed by dividing net income attributable to the Company by the weighted-average number of shares of Class A common stock outstanding during the same period. Diluted net income per share of common stock is computed by dividing net income attributable to the Company by the weighted-average number of shares of common stock outstanding adjusted to give effect to potentially dilutive securities. Potential shares of common stock consist of incremental shares issuable upon the assumed exercise of stock options and warrants and conversion of the Company’s preferred stock.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Instruments</w:t>
      </w:r>
    </w:p>
    <w:p>
      <w:pPr>
        <w:spacing w:after="0" w:line="191"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6"/>
          <w:szCs w:val="16"/>
          <w:color w:val="auto"/>
        </w:rPr>
        <w:t>The Company uses derivative instruments to manage its exposures to fluctuations in interest rates. Specifically, the Company entered into an interest rate swap agreement to convert a portion of its variable-rate debt into a fixed-rate obligation, thereby mitigating the risk of increasing interest payments. The valuation of this instrument is determined using widely accepted valuation techniques, including discounted cash flow analysis in the expected cash flows of each interest rate swap. This analysis reflects the contractual terms of the interest rate swap, including the period to maturity, and uses observable market-based inputs, including interest rate curves. The fair value estimate is classified as Level 2 (see Note 5 - Fair Value). The Company accounts for its interest rate swap under the authoritative guidance for derivative instruments and hedging activities. Although this derivative is an interest rate hedge, the Company does not account for the derivative as a cash-flow hedge instrument. Therefore, the guidance requires derivatives to be recognized as assets or liabilities measured at fair value. Changes in fair value of derivatives are recognized in the consolidated statements of comprehensive income in the period of change. The Company does not hold or issue financial instruments for speculative or trading purposes.</w:t>
      </w:r>
    </w:p>
    <w:p>
      <w:pPr>
        <w:spacing w:after="0" w:line="17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As a result of the Reverse Recapitalization, the Company had issued and has outstanding warrants. The Company evaluates the warrants, to determine if such instruments should be considered stock-based compensation, pursuant to ASC Topic 718, and if not in the scope of ASC 718, if such instruments are derivatives or contain features that qualify as embedded derivatives, pursuant to ASC Topic 480 and ASC Topic 815. The determination of whether the instrument should be classified as stock-based compensation or a derivative instrument, including whether such instruments should be recorded as liabilities or as equity, is re-assessed at the end of each reporting period.</w:t>
      </w:r>
    </w:p>
    <w:p>
      <w:pPr>
        <w:spacing w:after="0" w:line="166"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6"/>
          <w:szCs w:val="16"/>
          <w:color w:val="auto"/>
        </w:rPr>
        <w:t>Warrants issued to non-employees (the “Non-employee Warrants”) are not classified as stock-based compensation as there is no condition of employment such that the granting of the shares does not represent compensation. The Non-employee Warrants are classified as derivative liabilities under ASC Topic 480 or ASC Topic 815. Warrants issued to non-employees are measured at fair value on recurring basis, using the market approach based upon the quoted market price of Binah Capital Group, Inc.’s warrants at the end of each reporting period.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308610</wp:posOffset>
            </wp:positionV>
            <wp:extent cx="6306185" cy="14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06185" cy="14605"/>
                    </a:xfrm>
                    <a:prstGeom prst="rect">
                      <a:avLst/>
                    </a:prstGeom>
                    <a:noFill/>
                  </pic:spPr>
                </pic:pic>
              </a:graphicData>
            </a:graphic>
          </wp:anchor>
        </w:drawing>
      </w:r>
    </w:p>
    <w:p>
      <w:pPr>
        <w:sectPr>
          <w:pgSz w:w="11900" w:h="16838" w:orient="portrait"/>
          <w:cols w:equalWidth="0" w:num="1">
            <w:col w:w="9940"/>
          </w:cols>
          <w:pgMar w:left="980" w:top="461" w:right="9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7"/>
          <w:szCs w:val="17"/>
          <w:b w:val="1"/>
          <w:bCs w:val="1"/>
          <w:color w:val="auto"/>
        </w:rPr>
        <w:t>2.</w:t>
        <w:tab/>
        <w:t xml:space="preserve">SUMMARY OF SIGNIFICANT ACCOUNTING POLICIES </w:t>
      </w:r>
      <w:r>
        <w:rPr>
          <w:rFonts w:ascii="Times New Roman" w:cs="Times New Roman" w:eastAsia="Times New Roman" w:hAnsi="Times New Roman"/>
          <w:sz w:val="17"/>
          <w:szCs w:val="17"/>
          <w:b w:val="1"/>
          <w:bCs w:val="1"/>
          <w:i w:val="1"/>
          <w:iCs w:val="1"/>
          <w:color w:val="auto"/>
        </w:rPr>
        <w:t>(continued)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Contingent Liabilities</w:t>
      </w:r>
    </w:p>
    <w:p>
      <w:pPr>
        <w:spacing w:after="0" w:line="19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The Company recognizes liabilities for contingencies when there is an exposure that, when fully analyzed, indicates potential losses become probable and can be reasonably estimated. Whether a potential loss is probable and can be reasonably estimated is based on currently available information and is subject to significant judgment, a variety of assumptions and uncertainties.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When a potential loss is probable and the loss or range of loss can be estimated, the Company will accrue the most likely amount within that range. No liability is recognized for those matters which, in management’s judgment, the determination of a reasonable estimate of potential loss is not possible, or for which a potential loss is not determined to be probable.</w:t>
      </w:r>
    </w:p>
    <w:p>
      <w:pPr>
        <w:spacing w:after="0" w:line="158"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 xml:space="preserve">The determination of these liability amounts requires significant judgment on the part of management See Note 14 - </w:t>
      </w:r>
      <w:r>
        <w:rPr>
          <w:rFonts w:ascii="Times New Roman" w:cs="Times New Roman" w:eastAsia="Times New Roman" w:hAnsi="Times New Roman"/>
          <w:sz w:val="16"/>
          <w:szCs w:val="16"/>
          <w:i w:val="1"/>
          <w:iCs w:val="1"/>
          <w:color w:val="auto"/>
        </w:rPr>
        <w:t>Commitments and Contingencies</w:t>
      </w:r>
      <w:r>
        <w:rPr>
          <w:rFonts w:ascii="Times New Roman" w:cs="Times New Roman" w:eastAsia="Times New Roman" w:hAnsi="Times New Roman"/>
          <w:sz w:val="16"/>
          <w:szCs w:val="16"/>
          <w:color w:val="auto"/>
        </w:rPr>
        <w:t xml:space="preserve"> for additional information.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Emerging Growth Company Status</w:t>
      </w:r>
    </w:p>
    <w:p>
      <w:pPr>
        <w:spacing w:after="0" w:line="19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The Company is an “emerging growth company,” as defined in Section 2(a) of the Securities Act of 1933, as modified by the Jumpstart Our Business Startups Act of 2012, and it thus may take advantage of certain exemptions from various reporting requirements that are applicable to other public companies that are not emerging growth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Recently Issued or Adopted Accounting Pronouncements</w:t>
      </w:r>
    </w:p>
    <w:p>
      <w:pPr>
        <w:spacing w:after="0" w:line="18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 xml:space="preserve">In November 2024, Financial Accounting Standards Board (“FASB”) issued Accounting Standards Update (“ASU”) 2024-03, </w:t>
      </w:r>
      <w:r>
        <w:rPr>
          <w:rFonts w:ascii="Times New Roman" w:cs="Times New Roman" w:eastAsia="Times New Roman" w:hAnsi="Times New Roman"/>
          <w:sz w:val="16"/>
          <w:szCs w:val="16"/>
          <w:i w:val="1"/>
          <w:iCs w:val="1"/>
          <w:color w:val="auto"/>
        </w:rPr>
        <w:t>Income Statement—Reporting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Comprehensive Income—Expense Disaggregation Disclosures (Subtopic 220-40)</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Disaggregation of Income Statement Expenses</w:t>
      </w:r>
      <w:r>
        <w:rPr>
          <w:rFonts w:ascii="Times New Roman" w:cs="Times New Roman" w:eastAsia="Times New Roman" w:hAnsi="Times New Roman"/>
          <w:sz w:val="16"/>
          <w:szCs w:val="16"/>
          <w:color w:val="auto"/>
        </w:rPr>
        <w:t>, which requires public</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business entities to disclose, in interim and annual reporting periods, additional information about certain expenses in the notes to financial statements. The ASU should be applied prospectively and is effective for fiscal years beginning after December 15, 2026, and interim periods within fiscal years beginning after December 15, 2027, with early adoption permitted. The Company is currently evaluating the impact on the related disclosures; however, it does not expect this update to have an impact on its financial condition or results of operations.</w:t>
      </w:r>
    </w:p>
    <w:p>
      <w:pPr>
        <w:spacing w:after="0" w:line="166"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6"/>
          <w:szCs w:val="16"/>
          <w:color w:val="auto"/>
        </w:rPr>
        <w:t xml:space="preserve">In December 2023, the Financial Accounting Standards Board (“FASB”) issued Accounting Standards Update (“ASU”) 2023-09, </w:t>
      </w:r>
      <w:r>
        <w:rPr>
          <w:rFonts w:ascii="Times New Roman" w:cs="Times New Roman" w:eastAsia="Times New Roman" w:hAnsi="Times New Roman"/>
          <w:sz w:val="16"/>
          <w:szCs w:val="16"/>
          <w:i w:val="1"/>
          <w:iCs w:val="1"/>
          <w:color w:val="auto"/>
        </w:rPr>
        <w:t>Income Taxes (Topic 740):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Improvements to Income Tax Disclosures </w:t>
      </w:r>
      <w:r>
        <w:rPr>
          <w:rFonts w:ascii="Times New Roman" w:cs="Times New Roman" w:eastAsia="Times New Roman" w:hAnsi="Times New Roman"/>
          <w:sz w:val="16"/>
          <w:szCs w:val="16"/>
          <w:color w:val="auto"/>
        </w:rPr>
        <w:t>to enhance the transparency of income tax disclosures relating to the rate reconciliation, disclosure of income taxes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paid, and certain other disclosures. The ASU should be applied prospectively and is effective for annual periods beginning after December 15, 2024, with early adoption permitted. The Company is currently evaluating the impact on the related disclosures; however, it does not expect this update to have an impact on its financial condition or results of operations.</w:t>
      </w:r>
    </w:p>
    <w:p>
      <w:pPr>
        <w:spacing w:after="0" w:line="162"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color w:val="auto"/>
        </w:rPr>
        <w:t xml:space="preserve">In November 2023, the FASB issued ASU 2023 - 07, </w:t>
      </w:r>
      <w:r>
        <w:rPr>
          <w:rFonts w:ascii="Times New Roman" w:cs="Times New Roman" w:eastAsia="Times New Roman" w:hAnsi="Times New Roman"/>
          <w:sz w:val="14"/>
          <w:szCs w:val="14"/>
          <w:i w:val="1"/>
          <w:iCs w:val="1"/>
          <w:color w:val="auto"/>
        </w:rPr>
        <w:t>Segment Reporting (Topic 280): Improvements to Reportable Segment Disclosures</w:t>
      </w:r>
      <w:r>
        <w:rPr>
          <w:rFonts w:ascii="Times New Roman" w:cs="Times New Roman" w:eastAsia="Times New Roman" w:hAnsi="Times New Roman"/>
          <w:sz w:val="14"/>
          <w:szCs w:val="14"/>
          <w:color w:val="auto"/>
        </w:rPr>
        <w:t xml:space="preserve"> to improve the disclosures about reportable segments and include more detailed information about a reportable segment’s expenses. This ASU also requires that a public entity with a single reportable segment, like the Company, provide all of the disclosures required as part of the amendments and all existing disclosures required by Topic 280. The ASU should be applied retrospectively to all prior periods presented in the consolidated financial statements and is effective for fiscal years beginning after December 15, 2023 and interim periods within fiscal years beginning after December 15, 2024. The adoption during the year ending 2024 did not have an impact on the Company’s financial condition or results of operations. See Note 18 - </w:t>
      </w:r>
      <w:r>
        <w:rPr>
          <w:rFonts w:ascii="Times New Roman" w:cs="Times New Roman" w:eastAsia="Times New Roman" w:hAnsi="Times New Roman"/>
          <w:sz w:val="14"/>
          <w:szCs w:val="14"/>
          <w:i w:val="1"/>
          <w:iCs w:val="1"/>
          <w:color w:val="auto"/>
        </w:rPr>
        <w:t>Segment Information</w:t>
      </w:r>
      <w:r>
        <w:rPr>
          <w:rFonts w:ascii="Times New Roman" w:cs="Times New Roman" w:eastAsia="Times New Roman" w:hAnsi="Times New Roman"/>
          <w:sz w:val="14"/>
          <w:szCs w:val="14"/>
          <w:color w:val="auto"/>
        </w:rPr>
        <w:t xml:space="preserve"> for related disclosures.</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On July 4, 2025, the One Big Beautiful Bill Act (the “Act”) was enacted into law. The Act makes permanent certain elements of the Tax Cuts and Jobs Acct, including accelerated tax deductions for qualified property and research expenditures, and the business interest expense limitation. We are currently assessing the Act’s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308610</wp:posOffset>
            </wp:positionV>
            <wp:extent cx="6306185" cy="14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06185" cy="14605"/>
                    </a:xfrm>
                    <a:prstGeom prst="rect">
                      <a:avLst/>
                    </a:prstGeom>
                    <a:noFill/>
                  </pic:spPr>
                </pic:pic>
              </a:graphicData>
            </a:graphic>
          </wp:anchor>
        </w:drawing>
      </w:r>
    </w:p>
    <w:p>
      <w:pPr>
        <w:sectPr>
          <w:pgSz w:w="11900" w:h="16838" w:orient="portrait"/>
          <w:cols w:equalWidth="0" w:num="1">
            <w:col w:w="9940"/>
          </w:cols>
          <w:pgMar w:left="980" w:top="461" w:right="979" w:bottom="1440" w:gutter="0" w:footer="0" w:header="0"/>
        </w:sectPr>
      </w:pPr>
    </w:p>
    <w:bookmarkStart w:id="15" w:name="page16"/>
    <w:bookmarkEnd w:id="15"/>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left="285" w:hanging="285"/>
        <w:spacing w:after="0"/>
        <w:tabs>
          <w:tab w:leader="none" w:pos="285" w:val="left"/>
        </w:tabs>
        <w:numPr>
          <w:ilvl w:val="0"/>
          <w:numId w:val="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MERGER AND RECAPITALIZATION</w:t>
      </w:r>
    </w:p>
    <w:p>
      <w:pPr>
        <w:spacing w:after="0" w:line="189" w:lineRule="exact"/>
        <w:rPr>
          <w:sz w:val="20"/>
          <w:szCs w:val="20"/>
          <w:color w:val="auto"/>
        </w:rPr>
      </w:pPr>
    </w:p>
    <w:p>
      <w:pPr>
        <w:jc w:val="both"/>
        <w:ind w:left="5"/>
        <w:spacing w:after="0" w:line="267" w:lineRule="auto"/>
        <w:rPr>
          <w:sz w:val="20"/>
          <w:szCs w:val="20"/>
          <w:color w:val="auto"/>
        </w:rPr>
      </w:pPr>
      <w:r>
        <w:rPr>
          <w:rFonts w:ascii="Times New Roman" w:cs="Times New Roman" w:eastAsia="Times New Roman" w:hAnsi="Times New Roman"/>
          <w:sz w:val="15"/>
          <w:szCs w:val="15"/>
          <w:color w:val="auto"/>
        </w:rPr>
        <w:t>Upon the consummation of the Business Combination, (i) the holders of shares of KWAC’s common stock (“</w:t>
      </w:r>
      <w:r>
        <w:rPr>
          <w:rFonts w:ascii="Times New Roman" w:cs="Times New Roman" w:eastAsia="Times New Roman" w:hAnsi="Times New Roman"/>
          <w:sz w:val="15"/>
          <w:szCs w:val="15"/>
          <w:b w:val="1"/>
          <w:bCs w:val="1"/>
          <w:i w:val="1"/>
          <w:iCs w:val="1"/>
          <w:color w:val="auto"/>
        </w:rPr>
        <w:t>KWAC Common Stock</w:t>
      </w:r>
      <w:r>
        <w:rPr>
          <w:rFonts w:ascii="Times New Roman" w:cs="Times New Roman" w:eastAsia="Times New Roman" w:hAnsi="Times New Roman"/>
          <w:sz w:val="15"/>
          <w:szCs w:val="15"/>
          <w:color w:val="auto"/>
        </w:rPr>
        <w:t>”) issued and outstanding immediately prior to the effective time of the Business Combination (other than any redeemed shares) receive</w:t>
      </w:r>
      <w:r>
        <w:rPr>
          <w:rFonts w:ascii="Times New Roman" w:cs="Times New Roman" w:eastAsia="Times New Roman" w:hAnsi="Times New Roman"/>
          <w:sz w:val="16"/>
          <w:szCs w:val="16"/>
          <w:color w:val="auto"/>
        </w:rPr>
        <w:t>d</w:t>
      </w:r>
      <w:r>
        <w:rPr>
          <w:rFonts w:ascii="Times New Roman" w:cs="Times New Roman" w:eastAsia="Times New Roman" w:hAnsi="Times New Roman"/>
          <w:sz w:val="15"/>
          <w:szCs w:val="15"/>
          <w:color w:val="auto"/>
        </w:rPr>
        <w:t xml:space="preserve"> one share of common stock of Holdings (“</w:t>
      </w:r>
      <w:r>
        <w:rPr>
          <w:rFonts w:ascii="Times New Roman" w:cs="Times New Roman" w:eastAsia="Times New Roman" w:hAnsi="Times New Roman"/>
          <w:sz w:val="15"/>
          <w:szCs w:val="15"/>
          <w:b w:val="1"/>
          <w:bCs w:val="1"/>
          <w:i w:val="1"/>
          <w:iCs w:val="1"/>
          <w:color w:val="auto"/>
        </w:rPr>
        <w:t>Holdings Common Stock</w:t>
      </w:r>
      <w:r>
        <w:rPr>
          <w:rFonts w:ascii="Times New Roman" w:cs="Times New Roman" w:eastAsia="Times New Roman" w:hAnsi="Times New Roman"/>
          <w:sz w:val="15"/>
          <w:szCs w:val="15"/>
          <w:color w:val="auto"/>
        </w:rPr>
        <w:t>”) in exchange for each share of KWAC Common Stock held by them, subject to adjustment as more fully described herein,</w:t>
      </w:r>
    </w:p>
    <w:p>
      <w:pPr>
        <w:spacing w:after="0" w:line="1" w:lineRule="exact"/>
        <w:rPr>
          <w:sz w:val="20"/>
          <w:szCs w:val="20"/>
          <w:color w:val="auto"/>
        </w:rPr>
      </w:pPr>
    </w:p>
    <w:p>
      <w:pPr>
        <w:jc w:val="both"/>
        <w:ind w:left="5" w:hanging="5"/>
        <w:spacing w:after="0" w:line="244" w:lineRule="auto"/>
        <w:tabs>
          <w:tab w:leader="none" w:pos="233"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1,100,000 shares of Holdings Common Stock issued to Sponsor </w:t>
      </w:r>
      <w:r>
        <w:rPr>
          <w:rFonts w:ascii="Times New Roman" w:cs="Times New Roman" w:eastAsia="Times New Roman" w:hAnsi="Times New Roman"/>
          <w:sz w:val="17"/>
          <w:szCs w:val="17"/>
          <w:color w:val="auto"/>
        </w:rPr>
        <w:t>was</w:t>
      </w:r>
      <w:r>
        <w:rPr>
          <w:rFonts w:ascii="Times New Roman" w:cs="Times New Roman" w:eastAsia="Times New Roman" w:hAnsi="Times New Roman"/>
          <w:sz w:val="16"/>
          <w:szCs w:val="16"/>
          <w:color w:val="auto"/>
        </w:rPr>
        <w:t xml:space="preserve"> placed by Holdings into an escrow account and </w:t>
      </w:r>
      <w:r>
        <w:rPr>
          <w:rFonts w:ascii="Times New Roman" w:cs="Times New Roman" w:eastAsia="Times New Roman" w:hAnsi="Times New Roman"/>
          <w:sz w:val="17"/>
          <w:szCs w:val="17"/>
          <w:color w:val="auto"/>
        </w:rPr>
        <w:t>will</w:t>
      </w:r>
      <w:r>
        <w:rPr>
          <w:rFonts w:ascii="Times New Roman" w:cs="Times New Roman" w:eastAsia="Times New Roman" w:hAnsi="Times New Roman"/>
          <w:sz w:val="16"/>
          <w:szCs w:val="16"/>
          <w:color w:val="auto"/>
        </w:rPr>
        <w:t xml:space="preserve"> not </w:t>
      </w:r>
      <w:r>
        <w:rPr>
          <w:rFonts w:ascii="Times New Roman" w:cs="Times New Roman" w:eastAsia="Times New Roman" w:hAnsi="Times New Roman"/>
          <w:sz w:val="17"/>
          <w:szCs w:val="17"/>
          <w:color w:val="auto"/>
        </w:rPr>
        <w:t>be</w:t>
      </w:r>
      <w:r>
        <w:rPr>
          <w:rFonts w:ascii="Times New Roman" w:cs="Times New Roman" w:eastAsia="Times New Roman" w:hAnsi="Times New Roman"/>
          <w:sz w:val="16"/>
          <w:szCs w:val="16"/>
          <w:color w:val="auto"/>
        </w:rPr>
        <w:t xml:space="preserve"> released to </w:t>
      </w:r>
      <w:r>
        <w:rPr>
          <w:rFonts w:ascii="Times New Roman" w:cs="Times New Roman" w:eastAsia="Times New Roman" w:hAnsi="Times New Roman"/>
          <w:sz w:val="17"/>
          <w:szCs w:val="17"/>
          <w:color w:val="auto"/>
        </w:rPr>
        <w:t>the</w:t>
      </w:r>
      <w:r>
        <w:rPr>
          <w:rFonts w:ascii="Times New Roman" w:cs="Times New Roman" w:eastAsia="Times New Roman" w:hAnsi="Times New Roman"/>
          <w:sz w:val="16"/>
          <w:szCs w:val="16"/>
          <w:color w:val="auto"/>
        </w:rPr>
        <w:t xml:space="preserve"> Sponsor unless the dollar volume-weighted average price of Holdings Common Stock exceeds $12.00 for 20 trading days within any 30-day trading period during the four-year period following the consummation of the Business Combination, (iii) the holders of each whole warrant to purchase KWAC Class A Common Stock receive</w:t>
      </w:r>
      <w:r>
        <w:rPr>
          <w:rFonts w:ascii="Times New Roman" w:cs="Times New Roman" w:eastAsia="Times New Roman" w:hAnsi="Times New Roman"/>
          <w:sz w:val="17"/>
          <w:szCs w:val="17"/>
          <w:color w:val="auto"/>
        </w:rPr>
        <w:t>d</w:t>
      </w:r>
      <w:r>
        <w:rPr>
          <w:rFonts w:ascii="Times New Roman" w:cs="Times New Roman" w:eastAsia="Times New Roman" w:hAnsi="Times New Roman"/>
          <w:sz w:val="16"/>
          <w:szCs w:val="16"/>
          <w:color w:val="auto"/>
        </w:rPr>
        <w:t xml:space="preserve"> one warrant to purchase Holdings Common Stock at an exercise price of $11.50 per share, (iv) 12 million shares of Holdings Common Stock, subject to adjustment as more fully described herein, </w:t>
      </w:r>
      <w:r>
        <w:rPr>
          <w:rFonts w:ascii="Times New Roman" w:cs="Times New Roman" w:eastAsia="Times New Roman" w:hAnsi="Times New Roman"/>
          <w:sz w:val="17"/>
          <w:szCs w:val="17"/>
          <w:color w:val="auto"/>
        </w:rPr>
        <w:t>was</w:t>
      </w:r>
      <w:r>
        <w:rPr>
          <w:rFonts w:ascii="Times New Roman" w:cs="Times New Roman" w:eastAsia="Times New Roman" w:hAnsi="Times New Roman"/>
          <w:sz w:val="16"/>
          <w:szCs w:val="16"/>
          <w:color w:val="auto"/>
        </w:rPr>
        <w:t xml:space="preserve"> issued to the equity holders of Wentworth in proportion to their ownership interests in Wentworth, (v) an additional 1,100,000 shares of Holdings Common Stock </w:t>
      </w:r>
      <w:r>
        <w:rPr>
          <w:rFonts w:ascii="Times New Roman" w:cs="Times New Roman" w:eastAsia="Times New Roman" w:hAnsi="Times New Roman"/>
          <w:sz w:val="17"/>
          <w:szCs w:val="17"/>
          <w:color w:val="auto"/>
        </w:rPr>
        <w:t>was</w:t>
      </w:r>
      <w:r>
        <w:rPr>
          <w:rFonts w:ascii="Times New Roman" w:cs="Times New Roman" w:eastAsia="Times New Roman" w:hAnsi="Times New Roman"/>
          <w:sz w:val="16"/>
          <w:szCs w:val="16"/>
          <w:color w:val="auto"/>
        </w:rPr>
        <w:t xml:space="preserve"> issued to certain equity holders of BMS, (vi) 3,084,450 KWAC Private Placement Warrants held by Sponsor </w:t>
      </w:r>
      <w:r>
        <w:rPr>
          <w:rFonts w:ascii="Times New Roman" w:cs="Times New Roman" w:eastAsia="Times New Roman" w:hAnsi="Times New Roman"/>
          <w:sz w:val="17"/>
          <w:szCs w:val="17"/>
          <w:color w:val="auto"/>
        </w:rPr>
        <w:t>were</w:t>
      </w:r>
      <w:r>
        <w:rPr>
          <w:rFonts w:ascii="Times New Roman" w:cs="Times New Roman" w:eastAsia="Times New Roman" w:hAnsi="Times New Roman"/>
          <w:sz w:val="16"/>
          <w:szCs w:val="16"/>
          <w:color w:val="auto"/>
        </w:rPr>
        <w:t xml:space="preserve"> forfeited immediately prior to the effective time of the Business Combination, and (vii) 3,084,450 warrants to purchase Holding Common Stock at an exercise price of $11.50 per share </w:t>
      </w:r>
      <w:r>
        <w:rPr>
          <w:rFonts w:ascii="Times New Roman" w:cs="Times New Roman" w:eastAsia="Times New Roman" w:hAnsi="Times New Roman"/>
          <w:sz w:val="17"/>
          <w:szCs w:val="17"/>
          <w:color w:val="auto"/>
        </w:rPr>
        <w:t>were</w:t>
      </w:r>
      <w:r>
        <w:rPr>
          <w:rFonts w:ascii="Times New Roman" w:cs="Times New Roman" w:eastAsia="Times New Roman" w:hAnsi="Times New Roman"/>
          <w:sz w:val="16"/>
          <w:szCs w:val="16"/>
          <w:color w:val="auto"/>
        </w:rPr>
        <w:t xml:space="preserve"> issued to the equity holders of BMS in proportion to their ownership interests in BMS. As a result of the Business Combination, BMS bec</w:t>
      </w:r>
      <w:r>
        <w:rPr>
          <w:rFonts w:ascii="Times New Roman" w:cs="Times New Roman" w:eastAsia="Times New Roman" w:hAnsi="Times New Roman"/>
          <w:sz w:val="17"/>
          <w:szCs w:val="17"/>
          <w:color w:val="auto"/>
        </w:rPr>
        <w:t>a</w:t>
      </w:r>
      <w:r>
        <w:rPr>
          <w:rFonts w:ascii="Times New Roman" w:cs="Times New Roman" w:eastAsia="Times New Roman" w:hAnsi="Times New Roman"/>
          <w:sz w:val="16"/>
          <w:szCs w:val="16"/>
          <w:color w:val="auto"/>
        </w:rPr>
        <w:t>me an indirect, wholly-owned subsidiary of Holdings.</w:t>
      </w:r>
    </w:p>
    <w:p>
      <w:pPr>
        <w:spacing w:after="0" w:line="166" w:lineRule="exact"/>
        <w:rPr>
          <w:sz w:val="20"/>
          <w:szCs w:val="20"/>
          <w:color w:val="auto"/>
        </w:rPr>
      </w:pPr>
    </w:p>
    <w:p>
      <w:pPr>
        <w:jc w:val="both"/>
        <w:ind w:left="5"/>
        <w:spacing w:after="0" w:line="250" w:lineRule="auto"/>
        <w:rPr>
          <w:sz w:val="20"/>
          <w:szCs w:val="20"/>
          <w:color w:val="auto"/>
        </w:rPr>
      </w:pPr>
      <w:r>
        <w:rPr>
          <w:rFonts w:ascii="Times New Roman" w:cs="Times New Roman" w:eastAsia="Times New Roman" w:hAnsi="Times New Roman"/>
          <w:sz w:val="16"/>
          <w:szCs w:val="16"/>
          <w:color w:val="auto"/>
        </w:rPr>
        <w:t xml:space="preserve">Additionally, </w:t>
      </w:r>
      <w:r>
        <w:rPr>
          <w:rFonts w:ascii="Times New Roman" w:cs="Times New Roman" w:eastAsia="Times New Roman" w:hAnsi="Times New Roman"/>
          <w:sz w:val="17"/>
          <w:szCs w:val="17"/>
          <w:color w:val="auto"/>
        </w:rPr>
        <w:t>on the Closing Date, Holdings entered into a Subscription Agreement with an investor for the</w:t>
      </w:r>
      <w:r>
        <w:rPr>
          <w:rFonts w:ascii="Times New Roman" w:cs="Times New Roman" w:eastAsia="Times New Roman" w:hAnsi="Times New Roman"/>
          <w:sz w:val="16"/>
          <w:szCs w:val="16"/>
          <w:color w:val="auto"/>
        </w:rPr>
        <w:t xml:space="preserve"> purchase </w:t>
      </w:r>
      <w:r>
        <w:rPr>
          <w:rFonts w:ascii="Times New Roman" w:cs="Times New Roman" w:eastAsia="Times New Roman" w:hAnsi="Times New Roman"/>
          <w:sz w:val="17"/>
          <w:szCs w:val="17"/>
          <w:color w:val="auto"/>
        </w:rPr>
        <w:t>of</w:t>
      </w:r>
      <w:r>
        <w:rPr>
          <w:rFonts w:ascii="Times New Roman" w:cs="Times New Roman" w:eastAsia="Times New Roman" w:hAnsi="Times New Roman"/>
          <w:sz w:val="16"/>
          <w:szCs w:val="16"/>
          <w:color w:val="auto"/>
        </w:rPr>
        <w:t xml:space="preserve"> 1,500,000 shares of Holdings’ Series A </w:t>
      </w:r>
      <w:r>
        <w:rPr>
          <w:rFonts w:ascii="Times New Roman" w:cs="Times New Roman" w:eastAsia="Times New Roman" w:hAnsi="Times New Roman"/>
          <w:sz w:val="17"/>
          <w:szCs w:val="17"/>
          <w:color w:val="auto"/>
        </w:rPr>
        <w:t>Redeemable</w:t>
      </w:r>
      <w:r>
        <w:rPr>
          <w:rFonts w:ascii="Times New Roman" w:cs="Times New Roman" w:eastAsia="Times New Roman" w:hAnsi="Times New Roman"/>
          <w:sz w:val="16"/>
          <w:szCs w:val="16"/>
          <w:color w:val="auto"/>
        </w:rPr>
        <w:t xml:space="preserve"> Convertible Preferred Stock (the “</w:t>
      </w:r>
      <w:r>
        <w:rPr>
          <w:rFonts w:ascii="Times New Roman" w:cs="Times New Roman" w:eastAsia="Times New Roman" w:hAnsi="Times New Roman"/>
          <w:sz w:val="16"/>
          <w:szCs w:val="16"/>
          <w:b w:val="1"/>
          <w:bCs w:val="1"/>
          <w:i w:val="1"/>
          <w:iCs w:val="1"/>
          <w:color w:val="auto"/>
        </w:rPr>
        <w:t>Holdings Series A Stock</w:t>
      </w:r>
      <w:r>
        <w:rPr>
          <w:rFonts w:ascii="Times New Roman" w:cs="Times New Roman" w:eastAsia="Times New Roman" w:hAnsi="Times New Roman"/>
          <w:sz w:val="16"/>
          <w:szCs w:val="16"/>
          <w:color w:val="auto"/>
        </w:rPr>
        <w:t>”) in a private placement at $9.60 per share, for an aggregate purchase price of $14.4 million (the “</w:t>
      </w:r>
      <w:r>
        <w:rPr>
          <w:rFonts w:ascii="Times New Roman" w:cs="Times New Roman" w:eastAsia="Times New Roman" w:hAnsi="Times New Roman"/>
          <w:sz w:val="16"/>
          <w:szCs w:val="16"/>
          <w:b w:val="1"/>
          <w:bCs w:val="1"/>
          <w:i w:val="1"/>
          <w:iCs w:val="1"/>
          <w:color w:val="auto"/>
        </w:rPr>
        <w:t>Series A PIPE</w:t>
      </w:r>
      <w:r>
        <w:rPr>
          <w:rFonts w:ascii="Times New Roman" w:cs="Times New Roman" w:eastAsia="Times New Roman" w:hAnsi="Times New Roman"/>
          <w:sz w:val="16"/>
          <w:szCs w:val="16"/>
          <w:color w:val="auto"/>
        </w:rPr>
        <w:t>”). The Holdings Series A Stock may be converted into shares of Holdings Common Stock after the second anniversary of the closing of the Series A PIPE, which such conversion shall initially be 1.5 shares of Holdings Common Stock for each share of Series A Convertible Preferred Stock, subject to certain adjustments provided in the Certificate of Designations.</w:t>
      </w:r>
    </w:p>
    <w:p>
      <w:pPr>
        <w:spacing w:after="0" w:line="161" w:lineRule="exact"/>
        <w:rPr>
          <w:sz w:val="20"/>
          <w:szCs w:val="20"/>
          <w:color w:val="auto"/>
        </w:rPr>
      </w:pPr>
    </w:p>
    <w:p>
      <w:pPr>
        <w:jc w:val="both"/>
        <w:ind w:left="5" w:right="20"/>
        <w:spacing w:after="0" w:line="260" w:lineRule="auto"/>
        <w:rPr>
          <w:sz w:val="20"/>
          <w:szCs w:val="20"/>
          <w:color w:val="auto"/>
        </w:rPr>
      </w:pPr>
      <w:r>
        <w:rPr>
          <w:rFonts w:ascii="Times New Roman" w:cs="Times New Roman" w:eastAsia="Times New Roman" w:hAnsi="Times New Roman"/>
          <w:sz w:val="16"/>
          <w:szCs w:val="16"/>
          <w:color w:val="auto"/>
        </w:rPr>
        <w:t xml:space="preserve">Holdings </w:t>
      </w:r>
      <w:r>
        <w:rPr>
          <w:rFonts w:ascii="Times New Roman" w:cs="Times New Roman" w:eastAsia="Times New Roman" w:hAnsi="Times New Roman"/>
          <w:sz w:val="17"/>
          <w:szCs w:val="17"/>
          <w:color w:val="auto"/>
        </w:rPr>
        <w:t>applied</w:t>
      </w:r>
      <w:r>
        <w:rPr>
          <w:rFonts w:ascii="Times New Roman" w:cs="Times New Roman" w:eastAsia="Times New Roman" w:hAnsi="Times New Roman"/>
          <w:sz w:val="16"/>
          <w:szCs w:val="16"/>
          <w:color w:val="auto"/>
        </w:rPr>
        <w:t xml:space="preserve"> to have the Holdings common stock and Holdings warrants listed on the Nasdaq Global Market (the “</w:t>
      </w:r>
      <w:r>
        <w:rPr>
          <w:rFonts w:ascii="Times New Roman" w:cs="Times New Roman" w:eastAsia="Times New Roman" w:hAnsi="Times New Roman"/>
          <w:sz w:val="16"/>
          <w:szCs w:val="16"/>
          <w:b w:val="1"/>
          <w:bCs w:val="1"/>
          <w:i w:val="1"/>
          <w:iCs w:val="1"/>
          <w:color w:val="auto"/>
        </w:rPr>
        <w:t>Nasdaq</w:t>
      </w:r>
      <w:r>
        <w:rPr>
          <w:rFonts w:ascii="Times New Roman" w:cs="Times New Roman" w:eastAsia="Times New Roman" w:hAnsi="Times New Roman"/>
          <w:sz w:val="16"/>
          <w:szCs w:val="16"/>
          <w:color w:val="auto"/>
        </w:rPr>
        <w:t xml:space="preserve">”) under the symbols </w:t>
      </w:r>
      <w:r>
        <w:rPr>
          <w:rFonts w:ascii="Times New Roman" w:cs="Times New Roman" w:eastAsia="Times New Roman" w:hAnsi="Times New Roman"/>
          <w:sz w:val="16"/>
          <w:szCs w:val="16"/>
          <w:b w:val="1"/>
          <w:bCs w:val="1"/>
          <w:color w:val="auto"/>
        </w:rPr>
        <w:t>BCG</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color w:val="auto"/>
        </w:rPr>
        <w:t>BCGWW</w:t>
      </w:r>
      <w:r>
        <w:rPr>
          <w:rFonts w:ascii="Times New Roman" w:cs="Times New Roman" w:eastAsia="Times New Roman" w:hAnsi="Times New Roman"/>
          <w:sz w:val="16"/>
          <w:szCs w:val="16"/>
          <w:color w:val="auto"/>
        </w:rPr>
        <w:t>, respectively.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7"/>
          <w:szCs w:val="17"/>
          <w:color w:val="auto"/>
        </w:rPr>
        <w:t>Prior to the mergers, the KWAC Class A Common Stock and KWAC Public Warrants were listed on the OTC Exchange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7"/>
          <w:szCs w:val="17"/>
          <w:color w:val="auto"/>
        </w:rPr>
        <w:t>under the symbols “KWAC” and “KWAC.WS,” respectively.</w:t>
      </w:r>
    </w:p>
    <w:p>
      <w:pPr>
        <w:spacing w:after="0" w:line="149" w:lineRule="exact"/>
        <w:rPr>
          <w:sz w:val="20"/>
          <w:szCs w:val="20"/>
          <w:color w:val="auto"/>
        </w:rPr>
      </w:pPr>
    </w:p>
    <w:p>
      <w:pPr>
        <w:jc w:val="both"/>
        <w:ind w:left="5" w:right="20"/>
        <w:spacing w:after="0" w:line="267" w:lineRule="auto"/>
        <w:rPr>
          <w:sz w:val="20"/>
          <w:szCs w:val="20"/>
          <w:color w:val="auto"/>
        </w:rPr>
      </w:pPr>
      <w:r>
        <w:rPr>
          <w:rFonts w:ascii="Times New Roman" w:cs="Times New Roman" w:eastAsia="Times New Roman" w:hAnsi="Times New Roman"/>
          <w:sz w:val="16"/>
          <w:szCs w:val="16"/>
          <w:color w:val="auto"/>
        </w:rPr>
        <w:t>On March 26, 2024, Holdings received approval for Holding’s securities to be listed on the Nasdaq Stock Market LLC. Holdings common stock is listed on the Nasdaq Global Market and its warrants will be listed on the Nasdaq Capital Market under the symbols “BCG” and “BCGWW”, respectively.</w:t>
      </w:r>
    </w:p>
    <w:p>
      <w:pPr>
        <w:spacing w:after="0" w:line="149" w:lineRule="exact"/>
        <w:rPr>
          <w:sz w:val="20"/>
          <w:szCs w:val="20"/>
          <w:color w:val="auto"/>
        </w:rPr>
      </w:pPr>
    </w:p>
    <w:p>
      <w:pPr>
        <w:ind w:left="285" w:hanging="285"/>
        <w:spacing w:after="0"/>
        <w:tabs>
          <w:tab w:leader="none" w:pos="285" w:val="left"/>
        </w:tabs>
        <w:numPr>
          <w:ilvl w:val="0"/>
          <w:numId w:val="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REVENUES FROM CONTRACTS WITH CUSTOMERS</w:t>
      </w:r>
    </w:p>
    <w:p>
      <w:pPr>
        <w:spacing w:after="0" w:line="191" w:lineRule="exact"/>
        <w:rPr>
          <w:sz w:val="20"/>
          <w:szCs w:val="20"/>
          <w:color w:val="auto"/>
        </w:rPr>
      </w:pPr>
    </w:p>
    <w:p>
      <w:pPr>
        <w:jc w:val="both"/>
        <w:ind w:left="5"/>
        <w:spacing w:after="0" w:line="293" w:lineRule="auto"/>
        <w:rPr>
          <w:sz w:val="20"/>
          <w:szCs w:val="20"/>
          <w:color w:val="auto"/>
        </w:rPr>
      </w:pPr>
      <w:r>
        <w:rPr>
          <w:rFonts w:ascii="Times New Roman" w:cs="Times New Roman" w:eastAsia="Times New Roman" w:hAnsi="Times New Roman"/>
          <w:sz w:val="14"/>
          <w:szCs w:val="14"/>
          <w:color w:val="auto"/>
        </w:rPr>
        <w:t>Revenues from contracts with customers are recognized when control of the promised services is transferred to customers in an amount that reflects the consideration the Company expects to be entitled to in exchange for those services. Revenues are analyzed to determine whether the Company is the principal (i.e., reports revenues on a gross basis) or agent (i.e., reports revenues on a net basis) in the contract. Principal or agent designations depend primarily on the control an entity has over the product or service before control is transferred to a customer. The indicators of which party exercises control include primary responsibility over performance obligations and risk before the good or service is transferred and discretion in establishing the price.</w:t>
      </w:r>
    </w:p>
    <w:p>
      <w:pPr>
        <w:spacing w:after="0" w:line="13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Commissions</w:t>
      </w:r>
    </w:p>
    <w:p>
      <w:pPr>
        <w:spacing w:after="0" w:line="191" w:lineRule="exact"/>
        <w:rPr>
          <w:sz w:val="20"/>
          <w:szCs w:val="20"/>
          <w:color w:val="auto"/>
        </w:rPr>
      </w:pPr>
    </w:p>
    <w:p>
      <w:pPr>
        <w:jc w:val="both"/>
        <w:ind w:left="5"/>
        <w:spacing w:after="0" w:line="255" w:lineRule="auto"/>
        <w:rPr>
          <w:sz w:val="20"/>
          <w:szCs w:val="20"/>
          <w:color w:val="auto"/>
        </w:rPr>
      </w:pPr>
      <w:r>
        <w:rPr>
          <w:rFonts w:ascii="Times New Roman" w:cs="Times New Roman" w:eastAsia="Times New Roman" w:hAnsi="Times New Roman"/>
          <w:sz w:val="16"/>
          <w:szCs w:val="16"/>
          <w:color w:val="auto"/>
        </w:rPr>
        <w:t>Commission revenues represent sales commissions generated by advisors for their clients’ purchases and sales of securities on exchanges and over-the-counter, as well as purchases of other investment products. The Company views the selling, distribution and marketing, or any combination thereof, of investment products to such clients as a single performance obligation to the product sponsors.</w:t>
      </w:r>
    </w:p>
    <w:p>
      <w:pPr>
        <w:spacing w:after="0" w:line="160" w:lineRule="exact"/>
        <w:rPr>
          <w:sz w:val="20"/>
          <w:szCs w:val="20"/>
          <w:color w:val="auto"/>
        </w:rPr>
      </w:pPr>
    </w:p>
    <w:p>
      <w:pPr>
        <w:jc w:val="both"/>
        <w:ind w:left="5" w:right="20"/>
        <w:spacing w:after="0" w:line="340" w:lineRule="auto"/>
        <w:rPr>
          <w:sz w:val="20"/>
          <w:szCs w:val="20"/>
          <w:color w:val="auto"/>
        </w:rPr>
      </w:pPr>
      <w:r>
        <w:rPr>
          <w:rFonts w:ascii="Times New Roman" w:cs="Times New Roman" w:eastAsia="Times New Roman" w:hAnsi="Times New Roman"/>
          <w:sz w:val="14"/>
          <w:szCs w:val="14"/>
          <w:color w:val="auto"/>
        </w:rPr>
        <w:t>The Company is the principal for commission revenues, as it is responsible for the execution of the clients’ purchases and sales and maintains relationships with the product sponsors. Advisors assist the Company in performing its obligations. Accordingly, total commission revenues are reported on a gross basis.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308610</wp:posOffset>
            </wp:positionV>
            <wp:extent cx="6306185" cy="14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06185" cy="14605"/>
                    </a:xfrm>
                    <a:prstGeom prst="rect">
                      <a:avLst/>
                    </a:prstGeom>
                    <a:noFill/>
                  </pic:spPr>
                </pic:pic>
              </a:graphicData>
            </a:graphic>
          </wp:anchor>
        </w:drawing>
      </w:r>
    </w:p>
    <w:p>
      <w:pPr>
        <w:sectPr>
          <w:pgSz w:w="11900" w:h="16838" w:orient="portrait"/>
          <w:cols w:equalWidth="0" w:num="1">
            <w:col w:w="9945"/>
          </w:cols>
          <w:pgMar w:left="975" w:top="461" w:right="979" w:bottom="1440" w:gutter="0" w:footer="0" w:header="0"/>
        </w:sectPr>
      </w:pPr>
    </w:p>
    <w:bookmarkStart w:id="16" w:name="page17"/>
    <w:bookmarkEnd w:id="16"/>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ind w:left="285" w:hanging="285"/>
        <w:spacing w:after="0"/>
        <w:tabs>
          <w:tab w:leader="none" w:pos="285" w:val="left"/>
        </w:tabs>
        <w:numPr>
          <w:ilvl w:val="0"/>
          <w:numId w:val="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REVENUES FROM CONTRACTS WITH CUSTOMERS </w:t>
      </w:r>
      <w:r>
        <w:rPr>
          <w:rFonts w:ascii="Times New Roman" w:cs="Times New Roman" w:eastAsia="Times New Roman" w:hAnsi="Times New Roman"/>
          <w:sz w:val="17"/>
          <w:szCs w:val="17"/>
          <w:b w:val="1"/>
          <w:bCs w:val="1"/>
          <w:i w:val="1"/>
          <w:iCs w:val="1"/>
          <w:color w:val="auto"/>
        </w:rPr>
        <w:t>(continued)</w:t>
      </w:r>
    </w:p>
    <w:p>
      <w:pPr>
        <w:spacing w:after="0" w:line="198" w:lineRule="exact"/>
        <w:rPr>
          <w:sz w:val="20"/>
          <w:szCs w:val="20"/>
          <w:color w:val="auto"/>
        </w:rPr>
      </w:pPr>
    </w:p>
    <w:p>
      <w:pPr>
        <w:jc w:val="both"/>
        <w:ind w:left="5"/>
        <w:spacing w:after="0" w:line="247" w:lineRule="auto"/>
        <w:rPr>
          <w:sz w:val="20"/>
          <w:szCs w:val="20"/>
          <w:color w:val="auto"/>
        </w:rPr>
      </w:pPr>
      <w:r>
        <w:rPr>
          <w:rFonts w:ascii="Times New Roman" w:cs="Times New Roman" w:eastAsia="Times New Roman" w:hAnsi="Times New Roman"/>
          <w:sz w:val="16"/>
          <w:szCs w:val="16"/>
          <w:color w:val="auto"/>
        </w:rPr>
        <w:t>The Company generates two types of commission revenues: sales-based commissions that are recognized at the point of sale on the trade date and trailing commissions that are recognized over time as earned. Sales-based commission revenues vary by investment product and are based on a percentage of an investment product’s current market value at the time of purchase. Trailing commission revenues are generally based on a percentage of the current market value of clients’ investment holdings in trail-eligible assets, and are recognized over the period during which services, such as ongoing support, are performed. As trailing commission revenues are based on the market value of clients’ investment holdings, the consideration is variable, and an estimate of the variable consideration is constrained due to dependence on unpredictable market impacts. The constraint is removed once the value of the clients’ investment holdings can be determined.</w:t>
      </w:r>
    </w:p>
    <w:p>
      <w:pPr>
        <w:spacing w:after="0" w:line="16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Advisory Fees</w:t>
      </w:r>
    </w:p>
    <w:p>
      <w:pPr>
        <w:spacing w:after="0" w:line="191" w:lineRule="exact"/>
        <w:rPr>
          <w:sz w:val="20"/>
          <w:szCs w:val="20"/>
          <w:color w:val="auto"/>
        </w:rPr>
      </w:pPr>
    </w:p>
    <w:p>
      <w:pPr>
        <w:jc w:val="both"/>
        <w:ind w:left="5"/>
        <w:spacing w:after="0" w:line="247" w:lineRule="auto"/>
        <w:rPr>
          <w:sz w:val="20"/>
          <w:szCs w:val="20"/>
          <w:color w:val="auto"/>
        </w:rPr>
      </w:pPr>
      <w:r>
        <w:rPr>
          <w:rFonts w:ascii="Times New Roman" w:cs="Times New Roman" w:eastAsia="Times New Roman" w:hAnsi="Times New Roman"/>
          <w:sz w:val="16"/>
          <w:szCs w:val="16"/>
          <w:color w:val="auto"/>
        </w:rPr>
        <w:t>Advisory fees represent fees charged to advisors’ clients’ accounts on the Company’s corporate advisory platform. The Company provides ongoing investment advice, brokerage and execution services on transactions, and performs administrative services for these accounts. This series of performance obligations transfers control of the services to the client over time as the services are performed. These revenues are recognized ratably over time to match the continued delivery of the performance obligations to the client over the life of the contract. The advisory revenues generated from the Company’s corporate advisory platform are based on a percentage of the market value of the eligible assets in the clients’ advisory accounts. As such, the consideration for these revenues is variable and an estimate of the variable consideration is constrained due to dependence on unpredictable market impacts on client portfolio values. The constraint is removed once the value of the clients’ investment holdings can be determined.</w:t>
      </w:r>
    </w:p>
    <w:p>
      <w:pPr>
        <w:spacing w:after="0" w:line="168" w:lineRule="exact"/>
        <w:rPr>
          <w:sz w:val="20"/>
          <w:szCs w:val="20"/>
          <w:color w:val="auto"/>
        </w:rPr>
      </w:pPr>
    </w:p>
    <w:p>
      <w:pPr>
        <w:jc w:val="both"/>
        <w:ind w:left="5" w:right="20"/>
        <w:spacing w:after="0" w:line="255" w:lineRule="auto"/>
        <w:rPr>
          <w:sz w:val="20"/>
          <w:szCs w:val="20"/>
          <w:color w:val="auto"/>
        </w:rPr>
      </w:pPr>
      <w:r>
        <w:rPr>
          <w:rFonts w:ascii="Times New Roman" w:cs="Times New Roman" w:eastAsia="Times New Roman" w:hAnsi="Times New Roman"/>
          <w:sz w:val="16"/>
          <w:szCs w:val="16"/>
          <w:color w:val="auto"/>
        </w:rPr>
        <w:t>The Company provides advisory services to clients on its corporate advisory platform through the advisor. The Company is the principal in these arrangements and recognizes advisory revenues on a gross basis, as the Company is responsible for satisfying the performance obligations and has control over determining the fees.</w:t>
      </w:r>
    </w:p>
    <w:p>
      <w:pPr>
        <w:spacing w:after="0" w:line="15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4"/>
          <w:szCs w:val="14"/>
          <w:color w:val="auto"/>
        </w:rPr>
        <w:t xml:space="preserve">The following table presents total revenue from contracts with customers disaggregated by investment product for the periods ended June 30 </w:t>
      </w:r>
      <w:r>
        <w:rPr>
          <w:rFonts w:ascii="Times New Roman" w:cs="Times New Roman" w:eastAsia="Times New Roman" w:hAnsi="Times New Roman"/>
          <w:sz w:val="14"/>
          <w:szCs w:val="14"/>
          <w:i w:val="1"/>
          <w:iCs w:val="1"/>
          <w:color w:val="auto"/>
        </w:rPr>
        <w:t>(in thousands)</w:t>
      </w:r>
      <w:r>
        <w:rPr>
          <w:rFonts w:ascii="Times New Roman" w:cs="Times New Roman" w:eastAsia="Times New Roman" w:hAnsi="Times New Roman"/>
          <w:sz w:val="14"/>
          <w:szCs w:val="14"/>
          <w:color w:val="auto"/>
        </w:rPr>
        <w:t>:</w:t>
      </w:r>
    </w:p>
    <w:p>
      <w:pPr>
        <w:spacing w:after="0" w:line="211" w:lineRule="exact"/>
        <w:rPr>
          <w:sz w:val="20"/>
          <w:szCs w:val="20"/>
          <w:color w:val="auto"/>
        </w:rPr>
      </w:pPr>
    </w:p>
    <w:tbl>
      <w:tblPr>
        <w:tblLayout w:type="fixed"/>
        <w:tblInd w:w="5" w:type="dxa"/>
        <w:tblCellMar>
          <w:top w:w="0" w:type="dxa"/>
          <w:left w:w="0" w:type="dxa"/>
          <w:bottom w:w="0" w:type="dxa"/>
          <w:right w:w="0" w:type="dxa"/>
        </w:tblCellMar>
      </w:tblPr>
      <w:tr>
        <w:trPr>
          <w:trHeight w:val="138"/>
        </w:trPr>
        <w:tc>
          <w:tcPr>
            <w:tcW w:w="46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4"/>
          </w:tcPr>
          <w:p>
            <w:pPr>
              <w:jc w:val="right"/>
              <w:ind w:right="284"/>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5"/>
          </w:tcPr>
          <w:p>
            <w:pPr>
              <w:jc w:val="right"/>
              <w:ind w:right="364"/>
              <w:spacing w:after="0"/>
              <w:rPr>
                <w:sz w:val="20"/>
                <w:szCs w:val="20"/>
                <w:color w:val="auto"/>
              </w:rPr>
            </w:pPr>
            <w:r>
              <w:rPr>
                <w:rFonts w:ascii="Times New Roman" w:cs="Times New Roman" w:eastAsia="Times New Roman" w:hAnsi="Times New Roman"/>
                <w:sz w:val="12"/>
                <w:szCs w:val="12"/>
                <w:b w:val="1"/>
                <w:bCs w:val="1"/>
                <w:color w:val="auto"/>
              </w:rPr>
              <w:t>Six Months Ended</w:t>
            </w:r>
          </w:p>
        </w:tc>
        <w:tc>
          <w:tcPr>
            <w:tcW w:w="0" w:type="dxa"/>
            <w:vAlign w:val="bottom"/>
          </w:tcPr>
          <w:p>
            <w:pPr>
              <w:spacing w:after="0"/>
              <w:rPr>
                <w:sz w:val="1"/>
                <w:szCs w:val="1"/>
                <w:color w:val="auto"/>
              </w:rPr>
            </w:pPr>
          </w:p>
        </w:tc>
      </w:tr>
      <w:tr>
        <w:trPr>
          <w:trHeight w:val="150"/>
        </w:trPr>
        <w:tc>
          <w:tcPr>
            <w:tcW w:w="46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Revenue From Contracts With Customers</w:t>
            </w:r>
          </w:p>
        </w:tc>
        <w:tc>
          <w:tcPr>
            <w:tcW w:w="13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6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4"/>
          </w:tcPr>
          <w:p>
            <w:pPr>
              <w:jc w:val="right"/>
              <w:ind w:right="24"/>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4680" w:type="dxa"/>
            <w:vAlign w:val="bottom"/>
            <w:tcBorders>
              <w:bottom w:val="single" w:sz="8" w:color="CCEEFF"/>
            </w:tcBorders>
            <w:vMerge w:val="continue"/>
          </w:tcPr>
          <w:p>
            <w:pPr>
              <w:spacing w:after="0"/>
              <w:rPr>
                <w:sz w:val="10"/>
                <w:szCs w:val="10"/>
                <w:color w:val="auto"/>
              </w:rPr>
            </w:pPr>
          </w:p>
        </w:tc>
        <w:tc>
          <w:tcPr>
            <w:tcW w:w="136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27"/>
              <w:spacing w:after="0" w:line="120" w:lineRule="exact"/>
              <w:rPr>
                <w:sz w:val="20"/>
                <w:szCs w:val="20"/>
                <w:color w:val="auto"/>
              </w:rPr>
            </w:pPr>
            <w:r>
              <w:rPr>
                <w:rFonts w:ascii="Times New Roman" w:cs="Times New Roman" w:eastAsia="Times New Roman" w:hAnsi="Times New Roman"/>
                <w:sz w:val="12"/>
                <w:szCs w:val="12"/>
                <w:b w:val="1"/>
                <w:bCs w:val="1"/>
                <w:color w:val="auto"/>
              </w:rPr>
              <w:t>2025</w:t>
            </w:r>
          </w:p>
        </w:tc>
        <w:tc>
          <w:tcPr>
            <w:tcW w:w="16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24"/>
              <w:spacing w:after="0" w:line="120" w:lineRule="exact"/>
              <w:rPr>
                <w:sz w:val="20"/>
                <w:szCs w:val="20"/>
                <w:color w:val="auto"/>
              </w:rPr>
            </w:pPr>
            <w:r>
              <w:rPr>
                <w:rFonts w:ascii="Times New Roman" w:cs="Times New Roman" w:eastAsia="Times New Roman" w:hAnsi="Times New Roman"/>
                <w:sz w:val="12"/>
                <w:szCs w:val="12"/>
                <w:b w:val="1"/>
                <w:bCs w:val="1"/>
                <w:color w:val="auto"/>
              </w:rPr>
              <w:t>2024</w:t>
            </w:r>
          </w:p>
        </w:tc>
        <w:tc>
          <w:tcPr>
            <w:tcW w:w="1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27"/>
              <w:spacing w:after="0" w:line="120" w:lineRule="exact"/>
              <w:rPr>
                <w:sz w:val="20"/>
                <w:szCs w:val="20"/>
                <w:color w:val="auto"/>
              </w:rPr>
            </w:pPr>
            <w:r>
              <w:rPr>
                <w:rFonts w:ascii="Times New Roman" w:cs="Times New Roman" w:eastAsia="Times New Roman" w:hAnsi="Times New Roman"/>
                <w:sz w:val="12"/>
                <w:szCs w:val="12"/>
                <w:b w:val="1"/>
                <w:bCs w:val="1"/>
                <w:color w:val="auto"/>
              </w:rPr>
              <w:t>2025</w:t>
            </w:r>
          </w:p>
        </w:tc>
        <w:tc>
          <w:tcPr>
            <w:tcW w:w="1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24"/>
              <w:spacing w:after="0" w:line="120" w:lineRule="exact"/>
              <w:rPr>
                <w:sz w:val="20"/>
                <w:szCs w:val="20"/>
                <w:color w:val="auto"/>
              </w:rPr>
            </w:pPr>
            <w:r>
              <w:rPr>
                <w:rFonts w:ascii="Times New Roman" w:cs="Times New Roman" w:eastAsia="Times New Roman" w:hAnsi="Times New Roman"/>
                <w:sz w:val="12"/>
                <w:szCs w:val="12"/>
                <w:b w:val="1"/>
                <w:bCs w:val="1"/>
                <w:color w:val="auto"/>
              </w:rPr>
              <w:t>2024</w:t>
            </w:r>
          </w:p>
        </w:tc>
        <w:tc>
          <w:tcPr>
            <w:tcW w:w="0" w:type="dxa"/>
            <w:vAlign w:val="bottom"/>
          </w:tcPr>
          <w:p>
            <w:pPr>
              <w:spacing w:after="0"/>
              <w:rPr>
                <w:sz w:val="1"/>
                <w:szCs w:val="1"/>
                <w:color w:val="auto"/>
              </w:rPr>
            </w:pPr>
          </w:p>
        </w:tc>
      </w:tr>
      <w:tr>
        <w:trPr>
          <w:trHeight w:val="178"/>
        </w:trPr>
        <w:tc>
          <w:tcPr>
            <w:tcW w:w="4680" w:type="dxa"/>
            <w:vAlign w:val="bottom"/>
            <w:shd w:val="clear" w:color="auto" w:fill="CCEEFF"/>
          </w:tcPr>
          <w:p>
            <w:pPr>
              <w:ind w:left="80"/>
              <w:spacing w:after="0" w:line="178" w:lineRule="exact"/>
              <w:rPr>
                <w:sz w:val="20"/>
                <w:szCs w:val="20"/>
                <w:color w:val="auto"/>
              </w:rPr>
            </w:pPr>
            <w:r>
              <w:rPr>
                <w:rFonts w:ascii="Times New Roman" w:cs="Times New Roman" w:eastAsia="Times New Roman" w:hAnsi="Times New Roman"/>
                <w:sz w:val="16"/>
                <w:szCs w:val="16"/>
                <w:color w:val="auto"/>
              </w:rPr>
              <w:t>Variable annuities and other insurance commissions</w:t>
            </w:r>
          </w:p>
        </w:tc>
        <w:tc>
          <w:tcPr>
            <w:tcW w:w="136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24,575</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25,025</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50,653</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50,070</w:t>
            </w:r>
          </w:p>
        </w:tc>
        <w:tc>
          <w:tcPr>
            <w:tcW w:w="0" w:type="dxa"/>
            <w:vAlign w:val="bottom"/>
          </w:tcPr>
          <w:p>
            <w:pPr>
              <w:spacing w:after="0"/>
              <w:rPr>
                <w:sz w:val="1"/>
                <w:szCs w:val="1"/>
                <w:color w:val="auto"/>
              </w:rPr>
            </w:pPr>
          </w:p>
        </w:tc>
      </w:tr>
      <w:tr>
        <w:trPr>
          <w:trHeight w:val="187"/>
        </w:trPr>
        <w:tc>
          <w:tcPr>
            <w:tcW w:w="4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Mutual fund commissions</w:t>
            </w: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5,914</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5,479</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11,535</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9,908</w:t>
            </w:r>
          </w:p>
        </w:tc>
        <w:tc>
          <w:tcPr>
            <w:tcW w:w="0" w:type="dxa"/>
            <w:vAlign w:val="bottom"/>
          </w:tcPr>
          <w:p>
            <w:pPr>
              <w:spacing w:after="0"/>
              <w:rPr>
                <w:sz w:val="1"/>
                <w:szCs w:val="1"/>
                <w:color w:val="auto"/>
              </w:rPr>
            </w:pPr>
          </w:p>
        </w:tc>
      </w:tr>
      <w:tr>
        <w:trPr>
          <w:trHeight w:val="187"/>
        </w:trPr>
        <w:tc>
          <w:tcPr>
            <w:tcW w:w="4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Securities commissions</w:t>
            </w:r>
          </w:p>
        </w:tc>
        <w:tc>
          <w:tcPr>
            <w:tcW w:w="1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2,571</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2,224</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6,017</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5,588</w:t>
            </w:r>
          </w:p>
        </w:tc>
        <w:tc>
          <w:tcPr>
            <w:tcW w:w="0" w:type="dxa"/>
            <w:vAlign w:val="bottom"/>
          </w:tcPr>
          <w:p>
            <w:pPr>
              <w:spacing w:after="0"/>
              <w:rPr>
                <w:sz w:val="1"/>
                <w:szCs w:val="1"/>
                <w:color w:val="auto"/>
              </w:rPr>
            </w:pPr>
          </w:p>
        </w:tc>
      </w:tr>
      <w:tr>
        <w:trPr>
          <w:trHeight w:val="187"/>
        </w:trPr>
        <w:tc>
          <w:tcPr>
            <w:tcW w:w="4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Alternative investments</w:t>
            </w: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6,932</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2,491</w:t>
            </w:r>
          </w:p>
        </w:tc>
        <w:tc>
          <w:tcPr>
            <w:tcW w:w="0" w:type="dxa"/>
            <w:vAlign w:val="bottom"/>
          </w:tcPr>
          <w:p>
            <w:pPr>
              <w:spacing w:after="0"/>
              <w:rPr>
                <w:sz w:val="1"/>
                <w:szCs w:val="1"/>
                <w:color w:val="auto"/>
              </w:rPr>
            </w:pPr>
          </w:p>
        </w:tc>
      </w:tr>
      <w:tr>
        <w:trPr>
          <w:trHeight w:val="187"/>
        </w:trPr>
        <w:tc>
          <w:tcPr>
            <w:tcW w:w="4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Advisory fees</w:t>
            </w:r>
          </w:p>
        </w:tc>
        <w:tc>
          <w:tcPr>
            <w:tcW w:w="13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6,627</w:t>
            </w:r>
          </w:p>
        </w:tc>
        <w:tc>
          <w:tcPr>
            <w:tcW w:w="1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6,320</w:t>
            </w:r>
          </w:p>
        </w:tc>
        <w:tc>
          <w:tcPr>
            <w:tcW w:w="1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13,542</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12,004</w:t>
            </w:r>
          </w:p>
        </w:tc>
        <w:tc>
          <w:tcPr>
            <w:tcW w:w="0" w:type="dxa"/>
            <w:vAlign w:val="bottom"/>
          </w:tcPr>
          <w:p>
            <w:pPr>
              <w:spacing w:after="0"/>
              <w:rPr>
                <w:sz w:val="1"/>
                <w:szCs w:val="1"/>
                <w:color w:val="auto"/>
              </w:rPr>
            </w:pPr>
          </w:p>
        </w:tc>
      </w:tr>
      <w:tr>
        <w:trPr>
          <w:trHeight w:val="178"/>
        </w:trPr>
        <w:tc>
          <w:tcPr>
            <w:tcW w:w="4680" w:type="dxa"/>
            <w:vAlign w:val="bottom"/>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Total Revenue From Contracts With Customers</w:t>
            </w:r>
          </w:p>
        </w:tc>
        <w:tc>
          <w:tcPr>
            <w:tcW w:w="1360" w:type="dxa"/>
            <w:vAlign w:val="bottom"/>
          </w:tcPr>
          <w:p>
            <w:pPr>
              <w:spacing w:after="0"/>
              <w:rPr>
                <w:sz w:val="15"/>
                <w:szCs w:val="15"/>
                <w:color w:val="auto"/>
              </w:rPr>
            </w:pPr>
          </w:p>
        </w:tc>
        <w:tc>
          <w:tcPr>
            <w:tcW w:w="180" w:type="dxa"/>
            <w:vAlign w:val="bottom"/>
            <w:tcBorders>
              <w:bottom w:val="single" w:sz="8" w:color="auto"/>
            </w:tcBorders>
          </w:tcPr>
          <w:p>
            <w:pPr>
              <w:jc w:val="right"/>
              <w:ind w:right="2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40,625</w:t>
            </w:r>
          </w:p>
        </w:tc>
        <w:tc>
          <w:tcPr>
            <w:tcW w:w="160" w:type="dxa"/>
            <w:vAlign w:val="bottom"/>
          </w:tcPr>
          <w:p>
            <w:pPr>
              <w:spacing w:after="0"/>
              <w:rPr>
                <w:sz w:val="15"/>
                <w:szCs w:val="15"/>
                <w:color w:val="auto"/>
              </w:rPr>
            </w:pPr>
          </w:p>
        </w:tc>
        <w:tc>
          <w:tcPr>
            <w:tcW w:w="220" w:type="dxa"/>
            <w:vAlign w:val="bottom"/>
            <w:tcBorders>
              <w:bottom w:val="single" w:sz="8" w:color="auto"/>
            </w:tcBorders>
          </w:tcPr>
          <w:p>
            <w:pPr>
              <w:jc w:val="right"/>
              <w:ind w:right="6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39,983</w:t>
            </w:r>
          </w:p>
        </w:tc>
        <w:tc>
          <w:tcPr>
            <w:tcW w:w="180" w:type="dxa"/>
            <w:vAlign w:val="bottom"/>
          </w:tcPr>
          <w:p>
            <w:pPr>
              <w:spacing w:after="0"/>
              <w:rPr>
                <w:sz w:val="15"/>
                <w:szCs w:val="15"/>
                <w:color w:val="auto"/>
              </w:rPr>
            </w:pPr>
          </w:p>
        </w:tc>
        <w:tc>
          <w:tcPr>
            <w:tcW w:w="180" w:type="dxa"/>
            <w:vAlign w:val="bottom"/>
            <w:tcBorders>
              <w:bottom w:val="single" w:sz="8" w:color="auto"/>
            </w:tcBorders>
          </w:tcPr>
          <w:p>
            <w:pPr>
              <w:jc w:val="right"/>
              <w:ind w:right="2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88,679</w:t>
            </w: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80,061</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 xml:space="preserve">The following tables presents sales-based and trailing revenues disaggregated by product category for the periods ended June 30 </w:t>
      </w:r>
      <w:r>
        <w:rPr>
          <w:rFonts w:ascii="Times New Roman" w:cs="Times New Roman" w:eastAsia="Times New Roman" w:hAnsi="Times New Roman"/>
          <w:sz w:val="16"/>
          <w:szCs w:val="16"/>
          <w:i w:val="1"/>
          <w:iCs w:val="1"/>
          <w:color w:val="auto"/>
        </w:rPr>
        <w:t>(in thousands)</w:t>
      </w:r>
      <w:r>
        <w:rPr>
          <w:rFonts w:ascii="Times New Roman" w:cs="Times New Roman" w:eastAsia="Times New Roman" w:hAnsi="Times New Roman"/>
          <w:sz w:val="16"/>
          <w:szCs w:val="16"/>
          <w:color w:val="auto"/>
        </w:rPr>
        <w:t>:</w:t>
      </w:r>
    </w:p>
    <w:p>
      <w:pPr>
        <w:spacing w:after="0" w:line="188" w:lineRule="exact"/>
        <w:rPr>
          <w:sz w:val="20"/>
          <w:szCs w:val="20"/>
          <w:color w:val="auto"/>
        </w:rPr>
      </w:pPr>
    </w:p>
    <w:tbl>
      <w:tblPr>
        <w:tblLayout w:type="fixed"/>
        <w:tblInd w:w="5" w:type="dxa"/>
        <w:tblCellMar>
          <w:top w:w="0" w:type="dxa"/>
          <w:left w:w="0" w:type="dxa"/>
          <w:bottom w:w="0" w:type="dxa"/>
          <w:right w:w="0" w:type="dxa"/>
        </w:tblCellMar>
      </w:tblPr>
      <w:tr>
        <w:trPr>
          <w:trHeight w:val="138"/>
        </w:trPr>
        <w:tc>
          <w:tcPr>
            <w:tcW w:w="46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4"/>
          </w:tcPr>
          <w:p>
            <w:pPr>
              <w:jc w:val="right"/>
              <w:ind w:right="285"/>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4"/>
          </w:tcPr>
          <w:p>
            <w:pPr>
              <w:jc w:val="right"/>
              <w:ind w:right="365"/>
              <w:spacing w:after="0"/>
              <w:rPr>
                <w:sz w:val="20"/>
                <w:szCs w:val="20"/>
                <w:color w:val="auto"/>
              </w:rPr>
            </w:pPr>
            <w:r>
              <w:rPr>
                <w:rFonts w:ascii="Times New Roman" w:cs="Times New Roman" w:eastAsia="Times New Roman" w:hAnsi="Times New Roman"/>
                <w:sz w:val="12"/>
                <w:szCs w:val="12"/>
                <w:b w:val="1"/>
                <w:bCs w:val="1"/>
                <w:color w:val="auto"/>
              </w:rPr>
              <w:t>Six Months Ended</w:t>
            </w:r>
          </w:p>
        </w:tc>
        <w:tc>
          <w:tcPr>
            <w:tcW w:w="0" w:type="dxa"/>
            <w:vAlign w:val="bottom"/>
          </w:tcPr>
          <w:p>
            <w:pPr>
              <w:spacing w:after="0"/>
              <w:rPr>
                <w:sz w:val="1"/>
                <w:szCs w:val="1"/>
                <w:color w:val="auto"/>
              </w:rPr>
            </w:pPr>
          </w:p>
        </w:tc>
      </w:tr>
      <w:tr>
        <w:trPr>
          <w:trHeight w:val="150"/>
        </w:trPr>
        <w:tc>
          <w:tcPr>
            <w:tcW w:w="46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Sales-based (Point in time)</w:t>
            </w:r>
          </w:p>
        </w:tc>
        <w:tc>
          <w:tcPr>
            <w:tcW w:w="13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6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4680" w:type="dxa"/>
            <w:vAlign w:val="bottom"/>
            <w:tcBorders>
              <w:bottom w:val="single" w:sz="8" w:color="CCEEFF"/>
            </w:tcBorders>
            <w:vMerge w:val="continue"/>
          </w:tcPr>
          <w:p>
            <w:pPr>
              <w:spacing w:after="0"/>
              <w:rPr>
                <w:sz w:val="10"/>
                <w:szCs w:val="10"/>
                <w:color w:val="auto"/>
              </w:rPr>
            </w:pPr>
          </w:p>
        </w:tc>
        <w:tc>
          <w:tcPr>
            <w:tcW w:w="136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28"/>
              <w:spacing w:after="0" w:line="120" w:lineRule="exact"/>
              <w:rPr>
                <w:sz w:val="20"/>
                <w:szCs w:val="20"/>
                <w:color w:val="auto"/>
              </w:rPr>
            </w:pPr>
            <w:r>
              <w:rPr>
                <w:rFonts w:ascii="Times New Roman" w:cs="Times New Roman" w:eastAsia="Times New Roman" w:hAnsi="Times New Roman"/>
                <w:sz w:val="12"/>
                <w:szCs w:val="12"/>
                <w:b w:val="1"/>
                <w:bCs w:val="1"/>
                <w:color w:val="auto"/>
              </w:rPr>
              <w:t>2025</w:t>
            </w:r>
          </w:p>
        </w:tc>
        <w:tc>
          <w:tcPr>
            <w:tcW w:w="16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25"/>
              <w:spacing w:after="0" w:line="120" w:lineRule="exact"/>
              <w:rPr>
                <w:sz w:val="20"/>
                <w:szCs w:val="20"/>
                <w:color w:val="auto"/>
              </w:rPr>
            </w:pPr>
            <w:r>
              <w:rPr>
                <w:rFonts w:ascii="Times New Roman" w:cs="Times New Roman" w:eastAsia="Times New Roman" w:hAnsi="Times New Roman"/>
                <w:sz w:val="12"/>
                <w:szCs w:val="12"/>
                <w:b w:val="1"/>
                <w:bCs w:val="1"/>
                <w:color w:val="auto"/>
              </w:rPr>
              <w:t>2024</w:t>
            </w:r>
          </w:p>
        </w:tc>
        <w:tc>
          <w:tcPr>
            <w:tcW w:w="1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28"/>
              <w:spacing w:after="0" w:line="120" w:lineRule="exact"/>
              <w:rPr>
                <w:sz w:val="20"/>
                <w:szCs w:val="20"/>
                <w:color w:val="auto"/>
              </w:rPr>
            </w:pPr>
            <w:r>
              <w:rPr>
                <w:rFonts w:ascii="Times New Roman" w:cs="Times New Roman" w:eastAsia="Times New Roman" w:hAnsi="Times New Roman"/>
                <w:sz w:val="12"/>
                <w:szCs w:val="12"/>
                <w:b w:val="1"/>
                <w:bCs w:val="1"/>
                <w:color w:val="auto"/>
              </w:rPr>
              <w:t>2025</w:t>
            </w:r>
          </w:p>
        </w:tc>
        <w:tc>
          <w:tcPr>
            <w:tcW w:w="1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25"/>
              <w:spacing w:after="0" w:line="120" w:lineRule="exact"/>
              <w:rPr>
                <w:sz w:val="20"/>
                <w:szCs w:val="20"/>
                <w:color w:val="auto"/>
              </w:rPr>
            </w:pPr>
            <w:r>
              <w:rPr>
                <w:rFonts w:ascii="Times New Roman" w:cs="Times New Roman" w:eastAsia="Times New Roman" w:hAnsi="Times New Roman"/>
                <w:sz w:val="12"/>
                <w:szCs w:val="12"/>
                <w:b w:val="1"/>
                <w:bCs w:val="1"/>
                <w:color w:val="auto"/>
              </w:rPr>
              <w:t>2024</w:t>
            </w:r>
          </w:p>
        </w:tc>
        <w:tc>
          <w:tcPr>
            <w:tcW w:w="0" w:type="dxa"/>
            <w:vAlign w:val="bottom"/>
          </w:tcPr>
          <w:p>
            <w:pPr>
              <w:spacing w:after="0"/>
              <w:rPr>
                <w:sz w:val="1"/>
                <w:szCs w:val="1"/>
                <w:color w:val="auto"/>
              </w:rPr>
            </w:pPr>
          </w:p>
        </w:tc>
      </w:tr>
      <w:tr>
        <w:trPr>
          <w:trHeight w:val="178"/>
        </w:trPr>
        <w:tc>
          <w:tcPr>
            <w:tcW w:w="4680" w:type="dxa"/>
            <w:vAlign w:val="bottom"/>
            <w:shd w:val="clear" w:color="auto" w:fill="CCEEFF"/>
          </w:tcPr>
          <w:p>
            <w:pPr>
              <w:ind w:left="80"/>
              <w:spacing w:after="0" w:line="178" w:lineRule="exact"/>
              <w:rPr>
                <w:sz w:val="20"/>
                <w:szCs w:val="20"/>
                <w:color w:val="auto"/>
              </w:rPr>
            </w:pPr>
            <w:r>
              <w:rPr>
                <w:rFonts w:ascii="Times New Roman" w:cs="Times New Roman" w:eastAsia="Times New Roman" w:hAnsi="Times New Roman"/>
                <w:sz w:val="16"/>
                <w:szCs w:val="16"/>
                <w:color w:val="auto"/>
              </w:rPr>
              <w:t>Variable annuities and other insurance commissions</w:t>
            </w:r>
          </w:p>
        </w:tc>
        <w:tc>
          <w:tcPr>
            <w:tcW w:w="136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10,523</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11,592</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20,435</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21,030</w:t>
            </w:r>
          </w:p>
        </w:tc>
        <w:tc>
          <w:tcPr>
            <w:tcW w:w="0" w:type="dxa"/>
            <w:vAlign w:val="bottom"/>
          </w:tcPr>
          <w:p>
            <w:pPr>
              <w:spacing w:after="0"/>
              <w:rPr>
                <w:sz w:val="1"/>
                <w:szCs w:val="1"/>
                <w:color w:val="auto"/>
              </w:rPr>
            </w:pPr>
          </w:p>
        </w:tc>
      </w:tr>
      <w:tr>
        <w:trPr>
          <w:trHeight w:val="187"/>
        </w:trPr>
        <w:tc>
          <w:tcPr>
            <w:tcW w:w="4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Mutual fund commissions</w:t>
            </w: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2,065</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2,525</w:t>
            </w:r>
          </w:p>
        </w:tc>
        <w:tc>
          <w:tcPr>
            <w:tcW w:w="0" w:type="dxa"/>
            <w:vAlign w:val="bottom"/>
          </w:tcPr>
          <w:p>
            <w:pPr>
              <w:spacing w:after="0"/>
              <w:rPr>
                <w:sz w:val="1"/>
                <w:szCs w:val="1"/>
                <w:color w:val="auto"/>
              </w:rPr>
            </w:pPr>
          </w:p>
        </w:tc>
      </w:tr>
      <w:tr>
        <w:trPr>
          <w:trHeight w:val="187"/>
        </w:trPr>
        <w:tc>
          <w:tcPr>
            <w:tcW w:w="4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Securities commissions</w:t>
            </w:r>
          </w:p>
        </w:tc>
        <w:tc>
          <w:tcPr>
            <w:tcW w:w="1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2,571</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2,224</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6,017</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5,588</w:t>
            </w:r>
          </w:p>
        </w:tc>
        <w:tc>
          <w:tcPr>
            <w:tcW w:w="0" w:type="dxa"/>
            <w:vAlign w:val="bottom"/>
          </w:tcPr>
          <w:p>
            <w:pPr>
              <w:spacing w:after="0"/>
              <w:rPr>
                <w:sz w:val="1"/>
                <w:szCs w:val="1"/>
                <w:color w:val="auto"/>
              </w:rPr>
            </w:pPr>
          </w:p>
        </w:tc>
      </w:tr>
      <w:tr>
        <w:trPr>
          <w:trHeight w:val="187"/>
        </w:trPr>
        <w:tc>
          <w:tcPr>
            <w:tcW w:w="46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Alternative investments</w:t>
            </w:r>
          </w:p>
        </w:tc>
        <w:tc>
          <w:tcPr>
            <w:tcW w:w="13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921</w:t>
            </w: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6,762</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2,473</w:t>
            </w:r>
          </w:p>
        </w:tc>
        <w:tc>
          <w:tcPr>
            <w:tcW w:w="0" w:type="dxa"/>
            <w:vAlign w:val="bottom"/>
          </w:tcPr>
          <w:p>
            <w:pPr>
              <w:spacing w:after="0"/>
              <w:rPr>
                <w:sz w:val="1"/>
                <w:szCs w:val="1"/>
                <w:color w:val="auto"/>
              </w:rPr>
            </w:pPr>
          </w:p>
        </w:tc>
      </w:tr>
      <w:tr>
        <w:trPr>
          <w:trHeight w:val="178"/>
        </w:trPr>
        <w:tc>
          <w:tcPr>
            <w:tcW w:w="4680" w:type="dxa"/>
            <w:vAlign w:val="bottom"/>
            <w:tcBorders>
              <w:bottom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Total Sales Based Revenues</w:t>
            </w:r>
          </w:p>
        </w:tc>
        <w:tc>
          <w:tcPr>
            <w:tcW w:w="13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14,869</w:t>
            </w:r>
          </w:p>
        </w:tc>
        <w:tc>
          <w:tcPr>
            <w:tcW w:w="1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15,849</w:t>
            </w:r>
          </w:p>
        </w:tc>
        <w:tc>
          <w:tcPr>
            <w:tcW w:w="1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35,279</w:t>
            </w:r>
          </w:p>
        </w:tc>
        <w:tc>
          <w:tcPr>
            <w:tcW w:w="1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31,616</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308610</wp:posOffset>
            </wp:positionV>
            <wp:extent cx="6306185" cy="14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06185" cy="14605"/>
                    </a:xfrm>
                    <a:prstGeom prst="rect">
                      <a:avLst/>
                    </a:prstGeom>
                    <a:noFill/>
                  </pic:spPr>
                </pic:pic>
              </a:graphicData>
            </a:graphic>
          </wp:anchor>
        </w:drawing>
      </w:r>
    </w:p>
    <w:p>
      <w:pPr>
        <w:sectPr>
          <w:pgSz w:w="11900" w:h="16838" w:orient="portrait"/>
          <w:cols w:equalWidth="0" w:num="1">
            <w:col w:w="9945"/>
          </w:cols>
          <w:pgMar w:left="975" w:top="461" w:right="979" w:bottom="1440" w:gutter="0" w:footer="0" w:header="0"/>
        </w:sectPr>
      </w:pPr>
    </w:p>
    <w:bookmarkStart w:id="17" w:name="page18"/>
    <w:bookmarkEnd w:id="17"/>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ind w:left="285" w:hanging="285"/>
        <w:spacing w:after="0"/>
        <w:tabs>
          <w:tab w:leader="none" w:pos="285" w:val="left"/>
        </w:tabs>
        <w:numPr>
          <w:ilvl w:val="0"/>
          <w:numId w:val="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REVENUES FROM CONTRACTS WITH CUSTOMERS </w:t>
      </w:r>
      <w:r>
        <w:rPr>
          <w:rFonts w:ascii="Times New Roman" w:cs="Times New Roman" w:eastAsia="Times New Roman" w:hAnsi="Times New Roman"/>
          <w:sz w:val="17"/>
          <w:szCs w:val="17"/>
          <w:b w:val="1"/>
          <w:bCs w:val="1"/>
          <w:i w:val="1"/>
          <w:iCs w:val="1"/>
          <w:color w:val="auto"/>
        </w:rPr>
        <w:t>(continued)</w:t>
      </w:r>
    </w:p>
    <w:p>
      <w:pPr>
        <w:spacing w:after="0" w:line="195" w:lineRule="exact"/>
        <w:rPr>
          <w:sz w:val="20"/>
          <w:szCs w:val="20"/>
          <w:color w:val="auto"/>
        </w:rPr>
      </w:pPr>
    </w:p>
    <w:tbl>
      <w:tblPr>
        <w:tblLayout w:type="fixed"/>
        <w:tblInd w:w="5" w:type="dxa"/>
        <w:tblCellMar>
          <w:top w:w="0" w:type="dxa"/>
          <w:left w:w="0" w:type="dxa"/>
          <w:bottom w:w="0" w:type="dxa"/>
          <w:right w:w="0" w:type="dxa"/>
        </w:tblCellMar>
      </w:tblPr>
      <w:tr>
        <w:trPr>
          <w:trHeight w:val="138"/>
        </w:trPr>
        <w:tc>
          <w:tcPr>
            <w:tcW w:w="46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5"/>
          </w:tcPr>
          <w:p>
            <w:pPr>
              <w:ind w:left="18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80" w:type="dxa"/>
            <w:vAlign w:val="bottom"/>
          </w:tcPr>
          <w:p>
            <w:pPr>
              <w:spacing w:after="0"/>
              <w:rPr>
                <w:sz w:val="12"/>
                <w:szCs w:val="12"/>
                <w:color w:val="auto"/>
              </w:rPr>
            </w:pPr>
          </w:p>
        </w:tc>
        <w:tc>
          <w:tcPr>
            <w:tcW w:w="1680" w:type="dxa"/>
            <w:vAlign w:val="bottom"/>
            <w:gridSpan w:val="4"/>
          </w:tcPr>
          <w:p>
            <w:pPr>
              <w:jc w:val="right"/>
              <w:ind w:right="364"/>
              <w:spacing w:after="0"/>
              <w:rPr>
                <w:sz w:val="20"/>
                <w:szCs w:val="20"/>
                <w:color w:val="auto"/>
              </w:rPr>
            </w:pPr>
            <w:r>
              <w:rPr>
                <w:rFonts w:ascii="Times New Roman" w:cs="Times New Roman" w:eastAsia="Times New Roman" w:hAnsi="Times New Roman"/>
                <w:sz w:val="12"/>
                <w:szCs w:val="12"/>
                <w:b w:val="1"/>
                <w:bCs w:val="1"/>
                <w:color w:val="auto"/>
              </w:rPr>
              <w:t>Six Months Ended</w:t>
            </w:r>
          </w:p>
        </w:tc>
        <w:tc>
          <w:tcPr>
            <w:tcW w:w="0" w:type="dxa"/>
            <w:vAlign w:val="bottom"/>
          </w:tcPr>
          <w:p>
            <w:pPr>
              <w:spacing w:after="0"/>
              <w:rPr>
                <w:sz w:val="1"/>
                <w:szCs w:val="1"/>
                <w:color w:val="auto"/>
              </w:rPr>
            </w:pPr>
          </w:p>
        </w:tc>
      </w:tr>
      <w:tr>
        <w:trPr>
          <w:trHeight w:val="150"/>
        </w:trPr>
        <w:tc>
          <w:tcPr>
            <w:tcW w:w="46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Trailing (Over time)</w:t>
            </w:r>
          </w:p>
        </w:tc>
        <w:tc>
          <w:tcPr>
            <w:tcW w:w="13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6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4680" w:type="dxa"/>
            <w:vAlign w:val="bottom"/>
            <w:tcBorders>
              <w:bottom w:val="single" w:sz="8" w:color="CCEEFF"/>
            </w:tcBorders>
            <w:vMerge w:val="continue"/>
          </w:tcPr>
          <w:p>
            <w:pPr>
              <w:spacing w:after="0"/>
              <w:rPr>
                <w:sz w:val="10"/>
                <w:szCs w:val="10"/>
                <w:color w:val="auto"/>
              </w:rPr>
            </w:pPr>
          </w:p>
        </w:tc>
        <w:tc>
          <w:tcPr>
            <w:tcW w:w="136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27"/>
              <w:spacing w:after="0" w:line="120" w:lineRule="exact"/>
              <w:rPr>
                <w:sz w:val="20"/>
                <w:szCs w:val="20"/>
                <w:color w:val="auto"/>
              </w:rPr>
            </w:pPr>
            <w:r>
              <w:rPr>
                <w:rFonts w:ascii="Times New Roman" w:cs="Times New Roman" w:eastAsia="Times New Roman" w:hAnsi="Times New Roman"/>
                <w:sz w:val="12"/>
                <w:szCs w:val="12"/>
                <w:b w:val="1"/>
                <w:bCs w:val="1"/>
                <w:color w:val="auto"/>
              </w:rPr>
              <w:t>2025</w:t>
            </w:r>
          </w:p>
        </w:tc>
        <w:tc>
          <w:tcPr>
            <w:tcW w:w="16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04"/>
              <w:spacing w:after="0" w:line="120" w:lineRule="exact"/>
              <w:rPr>
                <w:sz w:val="20"/>
                <w:szCs w:val="20"/>
                <w:color w:val="auto"/>
              </w:rPr>
            </w:pPr>
            <w:r>
              <w:rPr>
                <w:rFonts w:ascii="Times New Roman" w:cs="Times New Roman" w:eastAsia="Times New Roman" w:hAnsi="Times New Roman"/>
                <w:sz w:val="12"/>
                <w:szCs w:val="12"/>
                <w:b w:val="1"/>
                <w:bCs w:val="1"/>
                <w:color w:val="auto"/>
              </w:rPr>
              <w:t>2024</w:t>
            </w:r>
          </w:p>
        </w:tc>
        <w:tc>
          <w:tcPr>
            <w:tcW w:w="1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27"/>
              <w:spacing w:after="0" w:line="120" w:lineRule="exact"/>
              <w:rPr>
                <w:sz w:val="20"/>
                <w:szCs w:val="20"/>
                <w:color w:val="auto"/>
              </w:rPr>
            </w:pPr>
            <w:r>
              <w:rPr>
                <w:rFonts w:ascii="Times New Roman" w:cs="Times New Roman" w:eastAsia="Times New Roman" w:hAnsi="Times New Roman"/>
                <w:sz w:val="12"/>
                <w:szCs w:val="12"/>
                <w:b w:val="1"/>
                <w:bCs w:val="1"/>
                <w:color w:val="auto"/>
              </w:rPr>
              <w:t>2025</w:t>
            </w:r>
          </w:p>
        </w:tc>
        <w:tc>
          <w:tcPr>
            <w:tcW w:w="18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24"/>
              <w:spacing w:after="0" w:line="120" w:lineRule="exact"/>
              <w:rPr>
                <w:sz w:val="20"/>
                <w:szCs w:val="20"/>
                <w:color w:val="auto"/>
              </w:rPr>
            </w:pPr>
            <w:r>
              <w:rPr>
                <w:rFonts w:ascii="Times New Roman" w:cs="Times New Roman" w:eastAsia="Times New Roman" w:hAnsi="Times New Roman"/>
                <w:sz w:val="12"/>
                <w:szCs w:val="12"/>
                <w:b w:val="1"/>
                <w:bCs w:val="1"/>
                <w:color w:val="auto"/>
              </w:rPr>
              <w:t>2024</w:t>
            </w:r>
          </w:p>
        </w:tc>
        <w:tc>
          <w:tcPr>
            <w:tcW w:w="0" w:type="dxa"/>
            <w:vAlign w:val="bottom"/>
          </w:tcPr>
          <w:p>
            <w:pPr>
              <w:spacing w:after="0"/>
              <w:rPr>
                <w:sz w:val="1"/>
                <w:szCs w:val="1"/>
                <w:color w:val="auto"/>
              </w:rPr>
            </w:pPr>
          </w:p>
        </w:tc>
      </w:tr>
      <w:tr>
        <w:trPr>
          <w:trHeight w:val="178"/>
        </w:trPr>
        <w:tc>
          <w:tcPr>
            <w:tcW w:w="4680" w:type="dxa"/>
            <w:vAlign w:val="bottom"/>
            <w:shd w:val="clear" w:color="auto" w:fill="CCEEFF"/>
          </w:tcPr>
          <w:p>
            <w:pPr>
              <w:ind w:left="100"/>
              <w:spacing w:after="0" w:line="178" w:lineRule="exact"/>
              <w:rPr>
                <w:sz w:val="20"/>
                <w:szCs w:val="20"/>
                <w:color w:val="auto"/>
              </w:rPr>
            </w:pPr>
            <w:r>
              <w:rPr>
                <w:rFonts w:ascii="Times New Roman" w:cs="Times New Roman" w:eastAsia="Times New Roman" w:hAnsi="Times New Roman"/>
                <w:sz w:val="16"/>
                <w:szCs w:val="16"/>
                <w:color w:val="auto"/>
              </w:rPr>
              <w:t>Variable annuities and other insurance commissions</w:t>
            </w:r>
          </w:p>
        </w:tc>
        <w:tc>
          <w:tcPr>
            <w:tcW w:w="136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14,052</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13,433</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30,218</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29,040</w:t>
            </w:r>
          </w:p>
        </w:tc>
        <w:tc>
          <w:tcPr>
            <w:tcW w:w="0" w:type="dxa"/>
            <w:vAlign w:val="bottom"/>
          </w:tcPr>
          <w:p>
            <w:pPr>
              <w:spacing w:after="0"/>
              <w:rPr>
                <w:sz w:val="1"/>
                <w:szCs w:val="1"/>
                <w:color w:val="auto"/>
              </w:rPr>
            </w:pPr>
          </w:p>
        </w:tc>
      </w:tr>
      <w:tr>
        <w:trPr>
          <w:trHeight w:val="187"/>
        </w:trPr>
        <w:tc>
          <w:tcPr>
            <w:tcW w:w="4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Mutual fund commissions</w:t>
            </w: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4,372</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9,471</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7,383</w:t>
            </w:r>
          </w:p>
        </w:tc>
        <w:tc>
          <w:tcPr>
            <w:tcW w:w="0" w:type="dxa"/>
            <w:vAlign w:val="bottom"/>
          </w:tcPr>
          <w:p>
            <w:pPr>
              <w:spacing w:after="0"/>
              <w:rPr>
                <w:sz w:val="1"/>
                <w:szCs w:val="1"/>
                <w:color w:val="auto"/>
              </w:rPr>
            </w:pPr>
          </w:p>
        </w:tc>
      </w:tr>
      <w:tr>
        <w:trPr>
          <w:trHeight w:val="187"/>
        </w:trPr>
        <w:tc>
          <w:tcPr>
            <w:tcW w:w="4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Advisory fees</w:t>
            </w:r>
          </w:p>
        </w:tc>
        <w:tc>
          <w:tcPr>
            <w:tcW w:w="1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6,627</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6,320</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13,542</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12,004</w:t>
            </w:r>
          </w:p>
        </w:tc>
        <w:tc>
          <w:tcPr>
            <w:tcW w:w="0" w:type="dxa"/>
            <w:vAlign w:val="bottom"/>
          </w:tcPr>
          <w:p>
            <w:pPr>
              <w:spacing w:after="0"/>
              <w:rPr>
                <w:sz w:val="1"/>
                <w:szCs w:val="1"/>
                <w:color w:val="auto"/>
              </w:rPr>
            </w:pPr>
          </w:p>
        </w:tc>
      </w:tr>
      <w:tr>
        <w:trPr>
          <w:trHeight w:val="187"/>
        </w:trPr>
        <w:tc>
          <w:tcPr>
            <w:tcW w:w="46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Alternative investments</w:t>
            </w:r>
          </w:p>
        </w:tc>
        <w:tc>
          <w:tcPr>
            <w:tcW w:w="13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178"/>
        </w:trPr>
        <w:tc>
          <w:tcPr>
            <w:tcW w:w="468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Total Trailing Revenues</w:t>
            </w:r>
          </w:p>
        </w:tc>
        <w:tc>
          <w:tcPr>
            <w:tcW w:w="13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25,756</w:t>
            </w:r>
          </w:p>
        </w:tc>
        <w:tc>
          <w:tcPr>
            <w:tcW w:w="1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24,134</w:t>
            </w:r>
          </w:p>
        </w:tc>
        <w:tc>
          <w:tcPr>
            <w:tcW w:w="1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53,400</w:t>
            </w:r>
          </w:p>
        </w:tc>
        <w:tc>
          <w:tcPr>
            <w:tcW w:w="1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48,445</w:t>
            </w:r>
          </w:p>
        </w:tc>
        <w:tc>
          <w:tcPr>
            <w:tcW w:w="0" w:type="dxa"/>
            <w:vAlign w:val="bottom"/>
          </w:tcPr>
          <w:p>
            <w:pPr>
              <w:spacing w:after="0"/>
              <w:rPr>
                <w:sz w:val="1"/>
                <w:szCs w:val="1"/>
                <w:color w:val="auto"/>
              </w:rPr>
            </w:pPr>
          </w:p>
        </w:tc>
      </w:tr>
      <w:tr>
        <w:trPr>
          <w:trHeight w:val="178"/>
        </w:trPr>
        <w:tc>
          <w:tcPr>
            <w:tcW w:w="4680" w:type="dxa"/>
            <w:vAlign w:val="bottom"/>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Total Revenue From Contracts With Customers</w:t>
            </w:r>
          </w:p>
        </w:tc>
        <w:tc>
          <w:tcPr>
            <w:tcW w:w="1360" w:type="dxa"/>
            <w:vAlign w:val="bottom"/>
          </w:tcPr>
          <w:p>
            <w:pPr>
              <w:spacing w:after="0"/>
              <w:rPr>
                <w:sz w:val="15"/>
                <w:szCs w:val="15"/>
                <w:color w:val="auto"/>
              </w:rPr>
            </w:pPr>
          </w:p>
        </w:tc>
        <w:tc>
          <w:tcPr>
            <w:tcW w:w="180" w:type="dxa"/>
            <w:vAlign w:val="bottom"/>
            <w:tcBorders>
              <w:bottom w:val="single" w:sz="8" w:color="auto"/>
            </w:tcBorders>
          </w:tcPr>
          <w:p>
            <w:pPr>
              <w:jc w:val="right"/>
              <w:ind w:right="2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40,625</w:t>
            </w:r>
          </w:p>
        </w:tc>
        <w:tc>
          <w:tcPr>
            <w:tcW w:w="160" w:type="dxa"/>
            <w:vAlign w:val="bottom"/>
          </w:tcPr>
          <w:p>
            <w:pPr>
              <w:spacing w:after="0"/>
              <w:rPr>
                <w:sz w:val="15"/>
                <w:szCs w:val="15"/>
                <w:color w:val="auto"/>
              </w:rPr>
            </w:pPr>
          </w:p>
        </w:tc>
        <w:tc>
          <w:tcPr>
            <w:tcW w:w="220" w:type="dxa"/>
            <w:vAlign w:val="bottom"/>
            <w:tcBorders>
              <w:bottom w:val="single" w:sz="8" w:color="auto"/>
            </w:tcBorders>
          </w:tcPr>
          <w:p>
            <w:pPr>
              <w:jc w:val="right"/>
              <w:ind w:right="6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39,983</w:t>
            </w:r>
          </w:p>
        </w:tc>
        <w:tc>
          <w:tcPr>
            <w:tcW w:w="180" w:type="dxa"/>
            <w:vAlign w:val="bottom"/>
          </w:tcPr>
          <w:p>
            <w:pPr>
              <w:spacing w:after="0"/>
              <w:rPr>
                <w:sz w:val="15"/>
                <w:szCs w:val="15"/>
                <w:color w:val="auto"/>
              </w:rPr>
            </w:pPr>
          </w:p>
        </w:tc>
        <w:tc>
          <w:tcPr>
            <w:tcW w:w="180" w:type="dxa"/>
            <w:vAlign w:val="bottom"/>
            <w:tcBorders>
              <w:bottom w:val="single" w:sz="8" w:color="auto"/>
            </w:tcBorders>
          </w:tcPr>
          <w:p>
            <w:pPr>
              <w:jc w:val="right"/>
              <w:ind w:right="2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88,679</w:t>
            </w:r>
          </w:p>
        </w:tc>
        <w:tc>
          <w:tcPr>
            <w:tcW w:w="180" w:type="dxa"/>
            <w:vAlign w:val="bottom"/>
          </w:tcPr>
          <w:p>
            <w:pPr>
              <w:spacing w:after="0"/>
              <w:rPr>
                <w:sz w:val="15"/>
                <w:szCs w:val="15"/>
                <w:color w:val="auto"/>
              </w:rPr>
            </w:pPr>
          </w:p>
        </w:tc>
        <w:tc>
          <w:tcPr>
            <w:tcW w:w="220" w:type="dxa"/>
            <w:vAlign w:val="bottom"/>
            <w:tcBorders>
              <w:bottom w:val="single" w:sz="8" w:color="auto"/>
            </w:tcBorders>
          </w:tcPr>
          <w:p>
            <w:pPr>
              <w:jc w:val="right"/>
              <w:ind w:right="6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80,061</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Contract Balances</w:t>
      </w:r>
    </w:p>
    <w:p>
      <w:pPr>
        <w:spacing w:after="0" w:line="191" w:lineRule="exact"/>
        <w:rPr>
          <w:sz w:val="20"/>
          <w:szCs w:val="20"/>
          <w:color w:val="auto"/>
        </w:rPr>
      </w:pPr>
    </w:p>
    <w:p>
      <w:pPr>
        <w:jc w:val="both"/>
        <w:ind w:left="5"/>
        <w:spacing w:after="0" w:line="247" w:lineRule="auto"/>
        <w:rPr>
          <w:sz w:val="20"/>
          <w:szCs w:val="20"/>
          <w:color w:val="auto"/>
        </w:rPr>
      </w:pPr>
      <w:r>
        <w:rPr>
          <w:rFonts w:ascii="Times New Roman" w:cs="Times New Roman" w:eastAsia="Times New Roman" w:hAnsi="Times New Roman"/>
          <w:sz w:val="16"/>
          <w:szCs w:val="16"/>
          <w:color w:val="auto"/>
        </w:rPr>
        <w:t>The timing of revenue recognition may differ from the timing of payment by the Company’s customers. The Company records a receivable when revenue is recognized prior to payment and there is an unconditional right to payment. The Company records a contract asset when the Company has recognized revenue prior to payment but the Company’s right to payment is conditional on something other than the passage of time. Alternatively, when payment precedes the provision of the related services, the Company records deferred revenues (a contract liability) until the performance obligations are satisfied. As of June 30, 2025, and December 31, 2024, the Company had receivables from contracts with customers totaling approximately $10.5 million and $10.1 million, respectively. The opening balance of receivables from contracts with customers was approximately $8.9 million as of January 1, 2024. As of June 30, 2025, and December 31, 2024, the Company had no liabilities from contracts with customers.</w:t>
      </w:r>
    </w:p>
    <w:p>
      <w:pPr>
        <w:spacing w:after="0" w:line="16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Interest and Other Income</w:t>
      </w:r>
    </w:p>
    <w:p>
      <w:pPr>
        <w:spacing w:after="0" w:line="19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Company earns interest income from client margin accounts and cash equivalents. This revenue is not generated from contracts with customers.</w:t>
      </w:r>
    </w:p>
    <w:p>
      <w:pPr>
        <w:spacing w:after="0" w:line="1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Additionally, the Company receives marketing fees and sponsorship income.</w:t>
      </w:r>
    </w:p>
    <w:p>
      <w:pPr>
        <w:spacing w:after="0" w:line="172" w:lineRule="exact"/>
        <w:rPr>
          <w:sz w:val="20"/>
          <w:szCs w:val="20"/>
          <w:color w:val="auto"/>
        </w:rPr>
      </w:pPr>
    </w:p>
    <w:p>
      <w:pPr>
        <w:ind w:left="285" w:hanging="285"/>
        <w:spacing w:after="0"/>
        <w:tabs>
          <w:tab w:leader="none" w:pos="285" w:val="left"/>
        </w:tabs>
        <w:numPr>
          <w:ilvl w:val="0"/>
          <w:numId w:val="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FAIR VALUE</w:t>
      </w:r>
    </w:p>
    <w:p>
      <w:pPr>
        <w:spacing w:after="0" w:line="191" w:lineRule="exact"/>
        <w:rPr>
          <w:sz w:val="20"/>
          <w:szCs w:val="20"/>
          <w:color w:val="auto"/>
        </w:rPr>
      </w:pPr>
    </w:p>
    <w:p>
      <w:pPr>
        <w:jc w:val="both"/>
        <w:ind w:left="5"/>
        <w:spacing w:after="0" w:line="255" w:lineRule="auto"/>
        <w:rPr>
          <w:sz w:val="20"/>
          <w:szCs w:val="20"/>
          <w:color w:val="auto"/>
        </w:rPr>
      </w:pPr>
      <w:r>
        <w:rPr>
          <w:rFonts w:ascii="Times New Roman" w:cs="Times New Roman" w:eastAsia="Times New Roman" w:hAnsi="Times New Roman"/>
          <w:sz w:val="16"/>
          <w:szCs w:val="16"/>
          <w:color w:val="auto"/>
        </w:rPr>
        <w:t>FASB ASC 820, Fair Value Measurement defines fair value as the price that would be received to sell an asset or paid to transfer a liability in an orderly transaction between market participants at the measurement date. The standard establishes the following hierarchy used in fair value measurements and expands the required disclosures of assets and liabilities measured at fair value:</w:t>
      </w:r>
    </w:p>
    <w:p>
      <w:pPr>
        <w:spacing w:after="0" w:line="160" w:lineRule="exact"/>
        <w:rPr>
          <w:sz w:val="20"/>
          <w:szCs w:val="20"/>
          <w:color w:val="auto"/>
        </w:rPr>
      </w:pPr>
    </w:p>
    <w:p>
      <w:pPr>
        <w:ind w:left="585" w:hanging="281"/>
        <w:spacing w:after="0"/>
        <w:tabs>
          <w:tab w:leader="none" w:pos="585"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1 - Inputs use quoted unadjusted prices in active markets for identical assets or liabilities that the Company can access.</w:t>
      </w:r>
    </w:p>
    <w:p>
      <w:pPr>
        <w:spacing w:after="0" w:line="189" w:lineRule="exact"/>
        <w:rPr>
          <w:rFonts w:ascii="Times New Roman" w:cs="Times New Roman" w:eastAsia="Times New Roman" w:hAnsi="Times New Roman"/>
          <w:sz w:val="16"/>
          <w:szCs w:val="16"/>
          <w:color w:val="auto"/>
        </w:rPr>
      </w:pPr>
    </w:p>
    <w:p>
      <w:pPr>
        <w:jc w:val="both"/>
        <w:ind w:left="585" w:right="20" w:hanging="281"/>
        <w:spacing w:after="0" w:line="340" w:lineRule="auto"/>
        <w:tabs>
          <w:tab w:leader="none" w:pos="585"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 Fair value measurements use other inputs that are observable, either directly or indirectly. These inputs include quoted prices for similar assets and liabilities in active markets as well as other inputs such as interest rates and yield curves that are observable at commonly quoted intervals.</w:t>
      </w:r>
    </w:p>
    <w:p>
      <w:pPr>
        <w:spacing w:after="0" w:line="104" w:lineRule="exact"/>
        <w:rPr>
          <w:rFonts w:ascii="Times New Roman" w:cs="Times New Roman" w:eastAsia="Times New Roman" w:hAnsi="Times New Roman"/>
          <w:sz w:val="14"/>
          <w:szCs w:val="14"/>
          <w:color w:val="auto"/>
        </w:rPr>
      </w:pPr>
    </w:p>
    <w:p>
      <w:pPr>
        <w:jc w:val="both"/>
        <w:ind w:left="585" w:right="20" w:hanging="281"/>
        <w:spacing w:after="0" w:line="255" w:lineRule="auto"/>
        <w:tabs>
          <w:tab w:leader="none" w:pos="585"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3 - Inputs that are unobservable inputs, including inputs that are available in situations where there is little, if any, market activity for the related asset or liability. The inputs or methodology used for valuing assets and liabilities are not necessarily an indication of the risk associated with investing in those assets and liabilities.</w:t>
      </w:r>
    </w:p>
    <w:p>
      <w:pPr>
        <w:spacing w:after="0" w:line="160" w:lineRule="exact"/>
        <w:rPr>
          <w:sz w:val="20"/>
          <w:szCs w:val="20"/>
          <w:color w:val="auto"/>
        </w:rPr>
      </w:pPr>
    </w:p>
    <w:p>
      <w:pPr>
        <w:ind w:left="5" w:right="20"/>
        <w:spacing w:after="0" w:line="267" w:lineRule="auto"/>
        <w:rPr>
          <w:sz w:val="20"/>
          <w:szCs w:val="20"/>
          <w:color w:val="auto"/>
        </w:rPr>
      </w:pPr>
      <w:r>
        <w:rPr>
          <w:rFonts w:ascii="Times New Roman" w:cs="Times New Roman" w:eastAsia="Times New Roman" w:hAnsi="Times New Roman"/>
          <w:sz w:val="16"/>
          <w:szCs w:val="16"/>
          <w:color w:val="auto"/>
        </w:rPr>
        <w:t>Certain financial instruments are carried at cost on the statement of financial condition, which approximates fair value due to their short-term, highly liquid nature. The carrying value of debt approximates their fair value since the interest rates on these obligations represent current market rates.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308610</wp:posOffset>
            </wp:positionV>
            <wp:extent cx="6306185" cy="14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06185" cy="14605"/>
                    </a:xfrm>
                    <a:prstGeom prst="rect">
                      <a:avLst/>
                    </a:prstGeom>
                    <a:noFill/>
                  </pic:spPr>
                </pic:pic>
              </a:graphicData>
            </a:graphic>
          </wp:anchor>
        </w:drawing>
      </w:r>
    </w:p>
    <w:p>
      <w:pPr>
        <w:sectPr>
          <w:pgSz w:w="11900" w:h="16838" w:orient="portrait"/>
          <w:cols w:equalWidth="0" w:num="1">
            <w:col w:w="9945"/>
          </w:cols>
          <w:pgMar w:left="975" w:top="461" w:right="979" w:bottom="1440" w:gutter="0" w:footer="0" w:header="0"/>
        </w:sectPr>
      </w:pPr>
    </w:p>
    <w:bookmarkStart w:id="18" w:name="page19"/>
    <w:bookmarkEnd w:id="18"/>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left="285" w:hanging="285"/>
        <w:spacing w:after="0"/>
        <w:tabs>
          <w:tab w:leader="none" w:pos="285" w:val="left"/>
        </w:tabs>
        <w:numPr>
          <w:ilvl w:val="0"/>
          <w:numId w:val="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DEBT</w:t>
      </w:r>
    </w:p>
    <w:p>
      <w:pPr>
        <w:spacing w:after="0" w:line="191" w:lineRule="exact"/>
        <w:rPr>
          <w:sz w:val="20"/>
          <w:szCs w:val="20"/>
          <w:color w:val="auto"/>
        </w:rPr>
      </w:pPr>
    </w:p>
    <w:p>
      <w:pPr>
        <w:jc w:val="both"/>
        <w:ind w:left="5"/>
        <w:spacing w:after="0" w:line="247" w:lineRule="auto"/>
        <w:rPr>
          <w:sz w:val="20"/>
          <w:szCs w:val="20"/>
          <w:color w:val="auto"/>
        </w:rPr>
      </w:pPr>
      <w:r>
        <w:rPr>
          <w:rFonts w:ascii="Times New Roman" w:cs="Times New Roman" w:eastAsia="Times New Roman" w:hAnsi="Times New Roman"/>
          <w:sz w:val="16"/>
          <w:szCs w:val="16"/>
          <w:color w:val="auto"/>
        </w:rPr>
        <w:t>On December 23, 2024 (the “Credit Agreement Closing Date”), BMS entered into a Credit Agreement (the “Credit Agreement”) with Byline Bank, as lender (the “Lender”), pursuant to which the Lender agreed, at BMS’s request, to (i) make to BMS a term loan in the original principal amount of $20.3 million (the “Term Loan”), which was funded on the Credit Agreement Closing Date; (ii) make to BMS, from time to time, certain non-revolving loans (the “Non-Revolving Loans”) in an aggregate principal amount of up to $1.0 million (the “Non-Revolving Loan Commitment”), to be funded through, but excluding, the Maturity Date (as defined below); and (iii) issue to BMS, from time to time, letters of credit (the “Letters of Credit” and together with the Term Loan and Non-Revolving Loans, the “Loans”) until the earliest to occur of (x) the one year from the Credit Agreement Closing Date and (b) the date on which the Non-Revolving Loans are fully drawn. As of June 30, 2025 and December 31, 2024, the outstanding balance under the Term Loan was $18.6 million and $19.6 million, respectively, net of unamortized debt issuance costs.</w:t>
      </w:r>
    </w:p>
    <w:p>
      <w:pPr>
        <w:spacing w:after="0" w:line="166" w:lineRule="exact"/>
        <w:rPr>
          <w:sz w:val="20"/>
          <w:szCs w:val="20"/>
          <w:color w:val="auto"/>
        </w:rPr>
      </w:pPr>
    </w:p>
    <w:p>
      <w:pPr>
        <w:jc w:val="both"/>
        <w:ind w:left="5" w:right="20"/>
        <w:spacing w:after="0" w:line="251" w:lineRule="auto"/>
        <w:rPr>
          <w:sz w:val="20"/>
          <w:szCs w:val="20"/>
          <w:color w:val="auto"/>
        </w:rPr>
      </w:pPr>
      <w:r>
        <w:rPr>
          <w:rFonts w:ascii="Times New Roman" w:cs="Times New Roman" w:eastAsia="Times New Roman" w:hAnsi="Times New Roman"/>
          <w:sz w:val="16"/>
          <w:szCs w:val="16"/>
          <w:color w:val="auto"/>
        </w:rPr>
        <w:t>Under the terms of the Credit Agreement, to the extent that BMS requests a Letter of Credit, the Non-Revolving Loan Commitment shall be permanently reduced in an amount equal to the amount of such Letter of Credit. The Non-Revolving Loans may not be requested by BMS and may only be advanced in connection with a repayment of a Letter of Credit (“LC Payment”). As of June 30, 2025 and December 31, 2024, there were no amounts outstanding under the Non-Revolving Loan or Letter of Credit.</w:t>
      </w:r>
    </w:p>
    <w:p>
      <w:pPr>
        <w:spacing w:after="0" w:line="164" w:lineRule="exact"/>
        <w:rPr>
          <w:sz w:val="20"/>
          <w:szCs w:val="20"/>
          <w:color w:val="auto"/>
        </w:rPr>
      </w:pPr>
    </w:p>
    <w:p>
      <w:pPr>
        <w:jc w:val="both"/>
        <w:ind w:left="5"/>
        <w:spacing w:after="0" w:line="247" w:lineRule="auto"/>
        <w:rPr>
          <w:sz w:val="20"/>
          <w:szCs w:val="20"/>
          <w:color w:val="auto"/>
        </w:rPr>
      </w:pPr>
      <w:r>
        <w:rPr>
          <w:rFonts w:ascii="Times New Roman" w:cs="Times New Roman" w:eastAsia="Times New Roman" w:hAnsi="Times New Roman"/>
          <w:sz w:val="16"/>
          <w:szCs w:val="16"/>
          <w:color w:val="auto"/>
        </w:rPr>
        <w:t>The Loans (both principal and interest) made by the Lender to BMS is scheduled to mature and become immediately due and payable in full on December 23, 2029 (“Maturity Date”). The obligations under the Credit Agreement shall bear interest (i) as to the Term Loan, a per annum variable interest rate equal to the Applicable Margin (as defined in the Credit Agreement) plus the greater of (x) the Term Secured Overnight Financing Rate (“SOFR”) (as defined in the Credit Agreement) and (y) one percent (1.00%) (the “Term Loan Interest Rate”); (ii) as to the Non-Revolving Loans or any reimbursement obligations relating to a Letter of Credit, at an interest rate equal to the Term SOFR plus four percent (4.00%) per annum; and (iii) if any other obligations is created under the Loan Documents (as defined in the Credit Agreement), at the Term Loan Interest Rate. As of June 30, 2025 and December 31, 2024, the effective interest rate was 8.3%.</w:t>
      </w:r>
    </w:p>
    <w:p>
      <w:pPr>
        <w:spacing w:after="0" w:line="168" w:lineRule="exact"/>
        <w:rPr>
          <w:sz w:val="20"/>
          <w:szCs w:val="20"/>
          <w:color w:val="auto"/>
        </w:rPr>
      </w:pPr>
    </w:p>
    <w:p>
      <w:pPr>
        <w:jc w:val="both"/>
        <w:ind w:left="5"/>
        <w:spacing w:after="0" w:line="251" w:lineRule="auto"/>
        <w:rPr>
          <w:sz w:val="20"/>
          <w:szCs w:val="20"/>
          <w:color w:val="auto"/>
        </w:rPr>
      </w:pPr>
      <w:r>
        <w:rPr>
          <w:rFonts w:ascii="Times New Roman" w:cs="Times New Roman" w:eastAsia="Times New Roman" w:hAnsi="Times New Roman"/>
          <w:sz w:val="16"/>
          <w:szCs w:val="16"/>
          <w:color w:val="auto"/>
        </w:rPr>
        <w:t>During the period ending June 30, 2025, BMS entered into an interest rate swap agreement with a notional amount of $10 million in connection with the above-mentioned Credit Agreement. Under the terms of the swap, BMS pays a fixed rate of 3.98% plus four percent (4.00%) and receives a variable interest rate based on SOFR plus 4.00% as defined above. The swap agreement requires monthly payments to be made or received. The swap is designated as cash flow hedge of the variability of the SOFR-based interest payments on $10 million of BMS’s outstanding variable-rate debt.</w:t>
      </w:r>
    </w:p>
    <w:p>
      <w:pPr>
        <w:spacing w:after="0" w:line="164" w:lineRule="exact"/>
        <w:rPr>
          <w:sz w:val="20"/>
          <w:szCs w:val="20"/>
          <w:color w:val="auto"/>
        </w:rPr>
      </w:pPr>
    </w:p>
    <w:p>
      <w:pPr>
        <w:jc w:val="both"/>
        <w:ind w:left="5"/>
        <w:spacing w:after="0" w:line="251" w:lineRule="auto"/>
        <w:rPr>
          <w:sz w:val="20"/>
          <w:szCs w:val="20"/>
          <w:color w:val="auto"/>
        </w:rPr>
      </w:pPr>
      <w:r>
        <w:rPr>
          <w:rFonts w:ascii="Times New Roman" w:cs="Times New Roman" w:eastAsia="Times New Roman" w:hAnsi="Times New Roman"/>
          <w:sz w:val="16"/>
          <w:szCs w:val="16"/>
          <w:color w:val="auto"/>
        </w:rPr>
        <w:t>As of June 30, 2025, the interest rate swap had a fair value liability of $0.15 million and included in accounts payable, accrued expenses and other liabilities on the consolidated statement of financial condition. The Company has adopted the shortcut method allowing it to assume perfect hedge effectiveness. Changes in the effective portion of the swap’s fair value are recognized in accumulated other comprehensive income (“AOCI”) and included on the Consolidated Statement of Other Comprehensive Income.</w:t>
      </w:r>
    </w:p>
    <w:p>
      <w:pPr>
        <w:spacing w:after="0" w:line="164" w:lineRule="exact"/>
        <w:rPr>
          <w:sz w:val="20"/>
          <w:szCs w:val="20"/>
          <w:color w:val="auto"/>
        </w:rPr>
      </w:pPr>
    </w:p>
    <w:p>
      <w:pPr>
        <w:jc w:val="both"/>
        <w:ind w:left="5" w:right="20"/>
        <w:spacing w:after="0" w:line="267" w:lineRule="auto"/>
        <w:rPr>
          <w:sz w:val="20"/>
          <w:szCs w:val="20"/>
          <w:color w:val="auto"/>
        </w:rPr>
      </w:pPr>
      <w:r>
        <w:rPr>
          <w:rFonts w:ascii="Times New Roman" w:cs="Times New Roman" w:eastAsia="Times New Roman" w:hAnsi="Times New Roman"/>
          <w:sz w:val="16"/>
          <w:szCs w:val="16"/>
          <w:color w:val="auto"/>
        </w:rPr>
        <w:t>The Term Loan was used by BMS to refinance Existing Credit Facilities (as defined in the Credit Agreement) and the Non-Revolving Loans must be used solely to reimburse the Lender with respect to any Letters of Credit issued to BMS. The Term Loan refinanced the previous Oak Street Funding Facility.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308610</wp:posOffset>
            </wp:positionV>
            <wp:extent cx="6306185" cy="14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06185" cy="14605"/>
                    </a:xfrm>
                    <a:prstGeom prst="rect">
                      <a:avLst/>
                    </a:prstGeom>
                    <a:noFill/>
                  </pic:spPr>
                </pic:pic>
              </a:graphicData>
            </a:graphic>
          </wp:anchor>
        </w:drawing>
      </w:r>
    </w:p>
    <w:p>
      <w:pPr>
        <w:sectPr>
          <w:pgSz w:w="11900" w:h="16838" w:orient="portrait"/>
          <w:cols w:equalWidth="0" w:num="1">
            <w:col w:w="9945"/>
          </w:cols>
          <w:pgMar w:left="975" w:top="461" w:right="979" w:bottom="1440" w:gutter="0" w:footer="0" w:header="0"/>
        </w:sectPr>
      </w:pPr>
    </w:p>
    <w:bookmarkStart w:id="19" w:name="page20"/>
    <w:bookmarkEnd w:id="19"/>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ind w:left="285" w:hanging="285"/>
        <w:spacing w:after="0"/>
        <w:tabs>
          <w:tab w:leader="none" w:pos="285" w:val="left"/>
        </w:tabs>
        <w:numPr>
          <w:ilvl w:val="0"/>
          <w:numId w:val="1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DEBT </w:t>
      </w:r>
      <w:r>
        <w:rPr>
          <w:rFonts w:ascii="Times New Roman" w:cs="Times New Roman" w:eastAsia="Times New Roman" w:hAnsi="Times New Roman"/>
          <w:sz w:val="17"/>
          <w:szCs w:val="17"/>
          <w:b w:val="1"/>
          <w:bCs w:val="1"/>
          <w:i w:val="1"/>
          <w:iCs w:val="1"/>
          <w:color w:val="auto"/>
        </w:rPr>
        <w:t>(continued)</w:t>
      </w:r>
    </w:p>
    <w:p>
      <w:pPr>
        <w:spacing w:after="0" w:line="198" w:lineRule="exact"/>
        <w:rPr>
          <w:sz w:val="20"/>
          <w:szCs w:val="20"/>
          <w:color w:val="auto"/>
        </w:rPr>
      </w:pPr>
    </w:p>
    <w:p>
      <w:pPr>
        <w:jc w:val="both"/>
        <w:ind w:left="5"/>
        <w:spacing w:after="0" w:line="248" w:lineRule="auto"/>
        <w:rPr>
          <w:sz w:val="20"/>
          <w:szCs w:val="20"/>
          <w:color w:val="auto"/>
        </w:rPr>
      </w:pPr>
      <w:r>
        <w:rPr>
          <w:rFonts w:ascii="Times New Roman" w:cs="Times New Roman" w:eastAsia="Times New Roman" w:hAnsi="Times New Roman"/>
          <w:sz w:val="16"/>
          <w:szCs w:val="16"/>
          <w:color w:val="auto"/>
        </w:rPr>
        <w:t>The Credit Agreement also includes customary covenants for a transaction of this type, including financial covenants whereby BMS and its subsidiaries on a consolidated basis may not have, as of the last day of each fiscal quarter, commencing with fiscal quarter ending on March 31, 2025, (1) a fixed charge coverage ratio as of the last day of the fiscal quarter for the twelve (12) month period then ended of not less than 1.20 to 1.00; (ii) a senior net leverage ratio as of the last day of such Fiscal Quarter for the twelve (12) month period then ended, of (A) for the fiscal quarter ended March 31, 2025 and each fiscal quarter through and including September 30, 2025, not more than 3.00 to 1.00; and (B) for the fiscal quarter ended December 31, 2025 and each fiscal quarter ending thereafter, not more than 2.75 to 1.00; or (iii) an annualized revenue received from custodians of at least $18.0 million.</w:t>
      </w:r>
    </w:p>
    <w:p>
      <w:pPr>
        <w:spacing w:after="0" w:line="164" w:lineRule="exact"/>
        <w:rPr>
          <w:sz w:val="20"/>
          <w:szCs w:val="20"/>
          <w:color w:val="auto"/>
        </w:rPr>
      </w:pPr>
    </w:p>
    <w:tbl>
      <w:tblPr>
        <w:tblLayout w:type="fixed"/>
        <w:tblInd w:w="5" w:type="dxa"/>
        <w:tblCellMar>
          <w:top w:w="0" w:type="dxa"/>
          <w:left w:w="0" w:type="dxa"/>
          <w:bottom w:w="0" w:type="dxa"/>
          <w:right w:w="0" w:type="dxa"/>
        </w:tblCellMar>
      </w:tblPr>
      <w:tr>
        <w:trPr>
          <w:trHeight w:val="205"/>
        </w:trPr>
        <w:tc>
          <w:tcPr>
            <w:tcW w:w="8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The minimum calendar maturities of the Term Loan as of June 30, 2025, are as follows </w:t>
            </w:r>
            <w:r>
              <w:rPr>
                <w:rFonts w:ascii="Times New Roman" w:cs="Times New Roman" w:eastAsia="Times New Roman" w:hAnsi="Times New Roman"/>
                <w:sz w:val="16"/>
                <w:szCs w:val="16"/>
                <w:b w:val="1"/>
                <w:bCs w:val="1"/>
                <w:i w:val="1"/>
                <w:iCs w:val="1"/>
                <w:color w:val="auto"/>
              </w:rPr>
              <w:t>(in thousands)</w:t>
            </w: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8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42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4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4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2028</w:t>
            </w:r>
          </w:p>
        </w:tc>
        <w:tc>
          <w:tcPr>
            <w:tcW w:w="4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2029</w:t>
            </w:r>
          </w:p>
        </w:tc>
        <w:tc>
          <w:tcPr>
            <w:tcW w:w="4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680" w:type="dxa"/>
            <w:vAlign w:val="bottom"/>
          </w:tcPr>
          <w:p>
            <w:pPr>
              <w:spacing w:after="0"/>
              <w:rPr>
                <w:sz w:val="15"/>
                <w:szCs w:val="15"/>
                <w:color w:val="auto"/>
              </w:rPr>
            </w:pPr>
          </w:p>
        </w:tc>
        <w:tc>
          <w:tcPr>
            <w:tcW w:w="420" w:type="dxa"/>
            <w:vAlign w:val="bottom"/>
            <w:tcBorders>
              <w:bottom w:val="single" w:sz="8" w:color="auto"/>
            </w:tcBorders>
          </w:tcPr>
          <w:p>
            <w:pPr>
              <w:jc w:val="right"/>
              <w:ind w:right="26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19,285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285" w:hanging="285"/>
        <w:spacing w:after="0"/>
        <w:tabs>
          <w:tab w:leader="none" w:pos="285" w:val="left"/>
        </w:tabs>
        <w:numPr>
          <w:ilvl w:val="0"/>
          <w:numId w:val="1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PROMISSORY NOTES – AFFILIATES</w:t>
      </w:r>
    </w:p>
    <w:p>
      <w:pPr>
        <w:spacing w:after="0" w:line="191" w:lineRule="exact"/>
        <w:rPr>
          <w:sz w:val="20"/>
          <w:szCs w:val="20"/>
          <w:color w:val="auto"/>
        </w:rPr>
      </w:pPr>
    </w:p>
    <w:p>
      <w:pPr>
        <w:jc w:val="both"/>
        <w:ind w:left="5" w:right="20"/>
        <w:spacing w:after="0" w:line="255" w:lineRule="auto"/>
        <w:rPr>
          <w:sz w:val="20"/>
          <w:szCs w:val="20"/>
          <w:color w:val="auto"/>
        </w:rPr>
      </w:pPr>
      <w:r>
        <w:rPr>
          <w:rFonts w:ascii="Times New Roman" w:cs="Times New Roman" w:eastAsia="Times New Roman" w:hAnsi="Times New Roman"/>
          <w:sz w:val="16"/>
          <w:szCs w:val="16"/>
          <w:color w:val="auto"/>
        </w:rPr>
        <w:t>On November 30, 2017, WMS issued subordinated promissory notes in the aggregate principal amount of approximately $3.6 million to certain sellers in connection with the acquisition of the PKSH Entities. These notes had a maturity date of May 17, 2023 and accrued interest at a rate of 10% annually. The interest on these notes continued to accrue until such time as these notes were paid.</w:t>
      </w:r>
    </w:p>
    <w:p>
      <w:pPr>
        <w:spacing w:after="0" w:line="160" w:lineRule="exact"/>
        <w:rPr>
          <w:sz w:val="20"/>
          <w:szCs w:val="20"/>
          <w:color w:val="auto"/>
        </w:rPr>
      </w:pPr>
    </w:p>
    <w:p>
      <w:pPr>
        <w:jc w:val="both"/>
        <w:ind w:left="5"/>
        <w:spacing w:after="0" w:line="251" w:lineRule="auto"/>
        <w:rPr>
          <w:sz w:val="20"/>
          <w:szCs w:val="20"/>
          <w:color w:val="auto"/>
        </w:rPr>
      </w:pPr>
      <w:r>
        <w:rPr>
          <w:rFonts w:ascii="Times New Roman" w:cs="Times New Roman" w:eastAsia="Times New Roman" w:hAnsi="Times New Roman"/>
          <w:sz w:val="16"/>
          <w:szCs w:val="16"/>
          <w:color w:val="auto"/>
        </w:rPr>
        <w:t>Additionally, in connection with the acquisition of the PKSH Entities, the Company agreed to pay contingent consideration in the amount of $5.0 million to certain sellers. The conditions related to this contingency were met on November 30, 2018, and thus the notes had been issued to the sellers. These subordinated promissory notes had a maturity date of May 30, 2023, and accrued interest at a rate of 10% annually. The interest on these notes continued to accrue until such time as these notes were paid.</w:t>
      </w:r>
    </w:p>
    <w:p>
      <w:pPr>
        <w:spacing w:after="0" w:line="164" w:lineRule="exact"/>
        <w:rPr>
          <w:sz w:val="20"/>
          <w:szCs w:val="20"/>
          <w:color w:val="auto"/>
        </w:rPr>
      </w:pPr>
    </w:p>
    <w:p>
      <w:pPr>
        <w:jc w:val="both"/>
        <w:ind w:left="5"/>
        <w:spacing w:after="0" w:line="247" w:lineRule="auto"/>
        <w:rPr>
          <w:sz w:val="20"/>
          <w:szCs w:val="20"/>
          <w:color w:val="auto"/>
        </w:rPr>
      </w:pPr>
      <w:r>
        <w:rPr>
          <w:rFonts w:ascii="Times New Roman" w:cs="Times New Roman" w:eastAsia="Times New Roman" w:hAnsi="Times New Roman"/>
          <w:sz w:val="16"/>
          <w:szCs w:val="16"/>
          <w:color w:val="auto"/>
        </w:rPr>
        <w:t>In connection with the closing of the Business Combination, the Company paid approximately $3.4 million on these notes. In addition to the paydown, the noteholders (all of whom are stockholders and/or key employees) agreed to forgive the remaining accrued but unpaid interest of approximately $3.8 million and entered into new promissory notes in the principal amount of approximately $5.3 million in the aggregate. The amounts outstanding as of June 30, 2025 and December 31, 2024 are $5.3 million and $5.4 million, respectively. The amount outstanding as of December 31, 2024 includes accrued interest which was paid subsequently. The terms of these new promissory notes provide for maturity on May 15, 2027 and carries an interest rate of Prime plus 1.00%, but no less than 7.50% per annum. Related interest expense was approximately $0.3 million and $0.1 million for the six months ended June 30, 2025 and 2024, respectively.</w:t>
      </w:r>
    </w:p>
    <w:p>
      <w:pPr>
        <w:spacing w:after="0" w:line="166" w:lineRule="exact"/>
        <w:rPr>
          <w:sz w:val="20"/>
          <w:szCs w:val="20"/>
          <w:color w:val="auto"/>
        </w:rPr>
      </w:pPr>
    </w:p>
    <w:p>
      <w:pPr>
        <w:ind w:left="285" w:hanging="285"/>
        <w:spacing w:after="0"/>
        <w:tabs>
          <w:tab w:leader="none" w:pos="285" w:val="left"/>
        </w:tabs>
        <w:numPr>
          <w:ilvl w:val="0"/>
          <w:numId w:val="1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SERIES A REDEEMABLE CONVERTIBLE PREFERRED STOCK</w:t>
      </w:r>
    </w:p>
    <w:p>
      <w:pPr>
        <w:spacing w:after="0" w:line="191" w:lineRule="exact"/>
        <w:rPr>
          <w:sz w:val="20"/>
          <w:szCs w:val="20"/>
          <w:color w:val="auto"/>
        </w:rPr>
      </w:pPr>
    </w:p>
    <w:p>
      <w:pPr>
        <w:jc w:val="both"/>
        <w:ind w:left="5"/>
        <w:spacing w:after="0" w:line="248" w:lineRule="auto"/>
        <w:rPr>
          <w:sz w:val="20"/>
          <w:szCs w:val="20"/>
          <w:color w:val="auto"/>
        </w:rPr>
      </w:pPr>
      <w:r>
        <w:rPr>
          <w:rFonts w:ascii="Times New Roman" w:cs="Times New Roman" w:eastAsia="Times New Roman" w:hAnsi="Times New Roman"/>
          <w:sz w:val="16"/>
          <w:szCs w:val="16"/>
          <w:color w:val="auto"/>
        </w:rPr>
        <w:t>On March 15, 2024 (the “Funding Date”), in connection with the consummation of the Business Combination, Holdings and BMS entered into a Subscription Agreement with an investor for the purchase of 1,500,000 shares of Holdings’ Series A Redeemable Convertible Preferred Stock (the “</w:t>
      </w:r>
      <w:r>
        <w:rPr>
          <w:rFonts w:ascii="Times New Roman" w:cs="Times New Roman" w:eastAsia="Times New Roman" w:hAnsi="Times New Roman"/>
          <w:sz w:val="16"/>
          <w:szCs w:val="16"/>
          <w:b w:val="1"/>
          <w:bCs w:val="1"/>
          <w:i w:val="1"/>
          <w:iCs w:val="1"/>
          <w:color w:val="auto"/>
        </w:rPr>
        <w:t>Holdings Series 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Stock</w:t>
      </w:r>
      <w:r>
        <w:rPr>
          <w:rFonts w:ascii="Times New Roman" w:cs="Times New Roman" w:eastAsia="Times New Roman" w:hAnsi="Times New Roman"/>
          <w:sz w:val="16"/>
          <w:szCs w:val="16"/>
          <w:color w:val="auto"/>
        </w:rPr>
        <w:t>”) in a private placement at $9.60 per share, for an aggregate purchase price of $14,400,000 (the “</w:t>
      </w:r>
      <w:r>
        <w:rPr>
          <w:rFonts w:ascii="Times New Roman" w:cs="Times New Roman" w:eastAsia="Times New Roman" w:hAnsi="Times New Roman"/>
          <w:sz w:val="16"/>
          <w:szCs w:val="16"/>
          <w:b w:val="1"/>
          <w:bCs w:val="1"/>
          <w:i w:val="1"/>
          <w:iCs w:val="1"/>
          <w:color w:val="auto"/>
        </w:rPr>
        <w:t>Series A PIPE</w:t>
      </w:r>
      <w:r>
        <w:rPr>
          <w:rFonts w:ascii="Times New Roman" w:cs="Times New Roman" w:eastAsia="Times New Roman" w:hAnsi="Times New Roman"/>
          <w:sz w:val="16"/>
          <w:szCs w:val="16"/>
          <w:color w:val="auto"/>
        </w:rPr>
        <w:t>”). The Holdings Series A Stock may be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converted into shares of Holdings Common Stock after the second anniversary of the closing of the Series A PIPE, which such conversion shall initially be 1.5 shares of Holdings Common Stock for each share of Series A Convertible Preferred Stock, subject to certain adjustments provided in the Certificate of Designations.</w:t>
      </w:r>
    </w:p>
    <w:p>
      <w:pPr>
        <w:spacing w:after="0" w:line="166" w:lineRule="exact"/>
        <w:rPr>
          <w:sz w:val="20"/>
          <w:szCs w:val="20"/>
          <w:color w:val="auto"/>
        </w:rPr>
      </w:pPr>
    </w:p>
    <w:p>
      <w:pPr>
        <w:jc w:val="both"/>
        <w:ind w:left="5"/>
        <w:spacing w:after="0" w:line="249" w:lineRule="auto"/>
        <w:rPr>
          <w:sz w:val="20"/>
          <w:szCs w:val="20"/>
          <w:color w:val="auto"/>
        </w:rPr>
      </w:pPr>
      <w:r>
        <w:rPr>
          <w:rFonts w:ascii="Times New Roman" w:cs="Times New Roman" w:eastAsia="Times New Roman" w:hAnsi="Times New Roman"/>
          <w:sz w:val="16"/>
          <w:szCs w:val="16"/>
          <w:color w:val="auto"/>
        </w:rPr>
        <w:t>Additionally, the Holdings Series A Stock carries a cumulative dividend at a rate of nine percent (9%) per annum, payable and compounded quarterly on the last day of each quarter. At the discretion of Holdings, the payment may be made in cash or up to 50% of the amount due, in duly authorized, validly issued, fully paid and non-assessable share of Holdings Series A Stock at a value of $10 per share. As of June 30, 2025, the Company accrued 50% of the dividend to be paid in cash in the approximate amount of $0.2 million and paid an in-kind dividend in the approximate amount of $0.2 million. As of December 31, 2024, the Company accrued 50% of the dividend to be paid in cash in the approximate amount of $0.2 million.</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308610</wp:posOffset>
            </wp:positionV>
            <wp:extent cx="6306185" cy="14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06185" cy="14605"/>
                    </a:xfrm>
                    <a:prstGeom prst="rect">
                      <a:avLst/>
                    </a:prstGeom>
                    <a:noFill/>
                  </pic:spPr>
                </pic:pic>
              </a:graphicData>
            </a:graphic>
          </wp:anchor>
        </w:drawing>
      </w:r>
    </w:p>
    <w:p>
      <w:pPr>
        <w:sectPr>
          <w:pgSz w:w="11900" w:h="16838" w:orient="portrait"/>
          <w:cols w:equalWidth="0" w:num="1">
            <w:col w:w="9945"/>
          </w:cols>
          <w:pgMar w:left="975" w:top="461" w:right="979" w:bottom="1440" w:gutter="0" w:footer="0" w:header="0"/>
        </w:sectPr>
      </w:pPr>
    </w:p>
    <w:bookmarkStart w:id="20" w:name="page21"/>
    <w:bookmarkEnd w:id="20"/>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left="285" w:hanging="285"/>
        <w:spacing w:after="0"/>
        <w:tabs>
          <w:tab w:leader="none" w:pos="285" w:val="left"/>
        </w:tabs>
        <w:numPr>
          <w:ilvl w:val="0"/>
          <w:numId w:val="2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SERIES A REDEEMABLE CONVERTIBLE PREFERRED STOCK </w:t>
      </w:r>
      <w:r>
        <w:rPr>
          <w:rFonts w:ascii="Times New Roman" w:cs="Times New Roman" w:eastAsia="Times New Roman" w:hAnsi="Times New Roman"/>
          <w:sz w:val="16"/>
          <w:szCs w:val="16"/>
          <w:b w:val="1"/>
          <w:bCs w:val="1"/>
          <w:i w:val="1"/>
          <w:iCs w:val="1"/>
          <w:color w:val="auto"/>
        </w:rPr>
        <w:t>(continued)</w:t>
      </w:r>
    </w:p>
    <w:p>
      <w:pPr>
        <w:spacing w:after="0" w:line="19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Holdings Series A Stock has liquidation preferences in the event of a voluntary or involuntary liquidation as follows:</w:t>
      </w:r>
    </w:p>
    <w:p>
      <w:pPr>
        <w:spacing w:after="0" w:line="189" w:lineRule="exact"/>
        <w:rPr>
          <w:sz w:val="20"/>
          <w:szCs w:val="20"/>
          <w:color w:val="auto"/>
        </w:rPr>
      </w:pPr>
    </w:p>
    <w:p>
      <w:pPr>
        <w:ind w:left="585" w:hanging="281"/>
        <w:spacing w:after="0"/>
        <w:tabs>
          <w:tab w:leader="none" w:pos="585"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greater of $12.50 per share of Holdings Series A Stock if such liquidation occurs prior to the first anniversary of the Funding Date;</w:t>
      </w:r>
    </w:p>
    <w:p>
      <w:pPr>
        <w:spacing w:after="0" w:line="189" w:lineRule="exact"/>
        <w:rPr>
          <w:rFonts w:ascii="Times New Roman" w:cs="Times New Roman" w:eastAsia="Times New Roman" w:hAnsi="Times New Roman"/>
          <w:sz w:val="16"/>
          <w:szCs w:val="16"/>
          <w:color w:val="auto"/>
        </w:rPr>
      </w:pPr>
    </w:p>
    <w:p>
      <w:pPr>
        <w:ind w:left="585" w:hanging="281"/>
        <w:spacing w:after="0"/>
        <w:tabs>
          <w:tab w:leader="none" w:pos="585"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$13.00 per share of Holdings Series A Stock if such liquidation occurs prior to the second anniversary of the Funding Date;</w:t>
      </w:r>
    </w:p>
    <w:p>
      <w:pPr>
        <w:spacing w:after="0" w:line="189" w:lineRule="exact"/>
        <w:rPr>
          <w:rFonts w:ascii="Times New Roman" w:cs="Times New Roman" w:eastAsia="Times New Roman" w:hAnsi="Times New Roman"/>
          <w:sz w:val="16"/>
          <w:szCs w:val="16"/>
          <w:color w:val="auto"/>
        </w:rPr>
      </w:pPr>
    </w:p>
    <w:p>
      <w:pPr>
        <w:ind w:left="585" w:hanging="281"/>
        <w:spacing w:after="0"/>
        <w:tabs>
          <w:tab w:leader="none" w:pos="585"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$15.00 per share of Holdings Series A Stock if such liquidation occurs prior to the third anniversary of the Funding Date;</w:t>
      </w:r>
    </w:p>
    <w:p>
      <w:pPr>
        <w:spacing w:after="0" w:line="189" w:lineRule="exact"/>
        <w:rPr>
          <w:rFonts w:ascii="Times New Roman" w:cs="Times New Roman" w:eastAsia="Times New Roman" w:hAnsi="Times New Roman"/>
          <w:sz w:val="16"/>
          <w:szCs w:val="16"/>
          <w:color w:val="auto"/>
        </w:rPr>
      </w:pPr>
    </w:p>
    <w:p>
      <w:pPr>
        <w:ind w:left="585" w:hanging="281"/>
        <w:spacing w:after="0"/>
        <w:tabs>
          <w:tab w:leader="none" w:pos="585"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$16.00 per share of Holdings Series A Stock if such liquidation occurs prior to the fourth anniversary of the Funding Date.</w:t>
      </w:r>
    </w:p>
    <w:p>
      <w:pPr>
        <w:spacing w:after="0" w:line="189" w:lineRule="exact"/>
        <w:rPr>
          <w:sz w:val="20"/>
          <w:szCs w:val="20"/>
          <w:color w:val="auto"/>
        </w:rPr>
      </w:pPr>
    </w:p>
    <w:p>
      <w:pPr>
        <w:ind w:left="5"/>
        <w:spacing w:after="0" w:line="267" w:lineRule="auto"/>
        <w:rPr>
          <w:sz w:val="20"/>
          <w:szCs w:val="20"/>
          <w:color w:val="auto"/>
        </w:rPr>
      </w:pPr>
      <w:r>
        <w:rPr>
          <w:rFonts w:ascii="Times New Roman" w:cs="Times New Roman" w:eastAsia="Times New Roman" w:hAnsi="Times New Roman"/>
          <w:sz w:val="16"/>
          <w:szCs w:val="16"/>
          <w:color w:val="auto"/>
        </w:rPr>
        <w:t>Holdings, at its option, may redeem the Series A Stock on any anniversary of the Funding date up to an including the fourth anniversary of the Funding date at the following redemption prices:</w:t>
      </w:r>
    </w:p>
    <w:p>
      <w:pPr>
        <w:spacing w:after="0" w:line="151" w:lineRule="exact"/>
        <w:rPr>
          <w:sz w:val="20"/>
          <w:szCs w:val="20"/>
          <w:color w:val="auto"/>
        </w:rPr>
      </w:pPr>
    </w:p>
    <w:p>
      <w:pPr>
        <w:ind w:left="585" w:hanging="281"/>
        <w:spacing w:after="0"/>
        <w:tabs>
          <w:tab w:leader="none" w:pos="585"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$11.50 per share of Series A Stock on the first anniversary of the Funding Date;</w:t>
      </w:r>
    </w:p>
    <w:p>
      <w:pPr>
        <w:spacing w:after="0" w:line="189" w:lineRule="exact"/>
        <w:rPr>
          <w:rFonts w:ascii="Times New Roman" w:cs="Times New Roman" w:eastAsia="Times New Roman" w:hAnsi="Times New Roman"/>
          <w:sz w:val="16"/>
          <w:szCs w:val="16"/>
          <w:color w:val="auto"/>
        </w:rPr>
      </w:pPr>
    </w:p>
    <w:p>
      <w:pPr>
        <w:ind w:left="585" w:hanging="281"/>
        <w:spacing w:after="0"/>
        <w:tabs>
          <w:tab w:leader="none" w:pos="585"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$13.00 per share of Series A Stock on the second anniversary of the Funding Date;</w:t>
      </w:r>
    </w:p>
    <w:p>
      <w:pPr>
        <w:spacing w:after="0" w:line="189" w:lineRule="exact"/>
        <w:rPr>
          <w:rFonts w:ascii="Times New Roman" w:cs="Times New Roman" w:eastAsia="Times New Roman" w:hAnsi="Times New Roman"/>
          <w:sz w:val="16"/>
          <w:szCs w:val="16"/>
          <w:color w:val="auto"/>
        </w:rPr>
      </w:pPr>
    </w:p>
    <w:p>
      <w:pPr>
        <w:ind w:left="585" w:hanging="281"/>
        <w:spacing w:after="0"/>
        <w:tabs>
          <w:tab w:leader="none" w:pos="585"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$15.00 per share of Series A Stock on the third anniversary of the Funding Date;</w:t>
      </w:r>
    </w:p>
    <w:p>
      <w:pPr>
        <w:spacing w:after="0" w:line="189" w:lineRule="exact"/>
        <w:rPr>
          <w:rFonts w:ascii="Times New Roman" w:cs="Times New Roman" w:eastAsia="Times New Roman" w:hAnsi="Times New Roman"/>
          <w:sz w:val="16"/>
          <w:szCs w:val="16"/>
          <w:color w:val="auto"/>
        </w:rPr>
      </w:pPr>
    </w:p>
    <w:p>
      <w:pPr>
        <w:ind w:left="585" w:hanging="281"/>
        <w:spacing w:after="0"/>
        <w:tabs>
          <w:tab w:leader="none" w:pos="585"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$16.00 per share of Series A Stock on the fourth anniversary of the Funding Date;</w:t>
      </w:r>
    </w:p>
    <w:p>
      <w:pPr>
        <w:spacing w:after="0" w:line="189" w:lineRule="exact"/>
        <w:rPr>
          <w:sz w:val="20"/>
          <w:szCs w:val="20"/>
          <w:color w:val="auto"/>
        </w:rPr>
      </w:pPr>
    </w:p>
    <w:p>
      <w:pPr>
        <w:ind w:left="5" w:right="20"/>
        <w:spacing w:after="0" w:line="267" w:lineRule="auto"/>
        <w:rPr>
          <w:sz w:val="20"/>
          <w:szCs w:val="20"/>
          <w:color w:val="auto"/>
        </w:rPr>
      </w:pPr>
      <w:r>
        <w:rPr>
          <w:rFonts w:ascii="Times New Roman" w:cs="Times New Roman" w:eastAsia="Times New Roman" w:hAnsi="Times New Roman"/>
          <w:sz w:val="16"/>
          <w:szCs w:val="16"/>
          <w:color w:val="auto"/>
        </w:rPr>
        <w:t>If the Series A Stock have not previously been redeemed or converted, the Series A Stock will be redeemed by Holdings on the fourth anniversary of the Funding Date.</w:t>
      </w:r>
    </w:p>
    <w:p>
      <w:pPr>
        <w:spacing w:after="0" w:line="149" w:lineRule="exact"/>
        <w:rPr>
          <w:sz w:val="20"/>
          <w:szCs w:val="20"/>
          <w:color w:val="auto"/>
        </w:rPr>
      </w:pPr>
    </w:p>
    <w:p>
      <w:pPr>
        <w:ind w:left="285" w:hanging="285"/>
        <w:spacing w:after="0"/>
        <w:tabs>
          <w:tab w:leader="none" w:pos="285" w:val="left"/>
        </w:tabs>
        <w:numPr>
          <w:ilvl w:val="0"/>
          <w:numId w:val="2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SERIES B CONVERTIBLE PREFERRED STOCK</w:t>
      </w:r>
    </w:p>
    <w:p>
      <w:pPr>
        <w:spacing w:after="0" w:line="191" w:lineRule="exact"/>
        <w:rPr>
          <w:sz w:val="20"/>
          <w:szCs w:val="20"/>
          <w:color w:val="auto"/>
        </w:rPr>
      </w:pPr>
    </w:p>
    <w:p>
      <w:pPr>
        <w:jc w:val="both"/>
        <w:ind w:left="5"/>
        <w:spacing w:after="0" w:line="249" w:lineRule="auto"/>
        <w:rPr>
          <w:sz w:val="20"/>
          <w:szCs w:val="20"/>
          <w:color w:val="auto"/>
        </w:rPr>
      </w:pPr>
      <w:r>
        <w:rPr>
          <w:rFonts w:ascii="Times New Roman" w:cs="Times New Roman" w:eastAsia="Times New Roman" w:hAnsi="Times New Roman"/>
          <w:sz w:val="16"/>
          <w:szCs w:val="16"/>
          <w:color w:val="auto"/>
        </w:rPr>
        <w:t>On September 4, 2024, the Company entered into a Subscription Agreement with an investor for the purchase of 150,000 shares of Holdings’ Series B Convertible Preferred Stock, par value $.0001 (the “</w:t>
      </w:r>
      <w:r>
        <w:rPr>
          <w:rFonts w:ascii="Times New Roman" w:cs="Times New Roman" w:eastAsia="Times New Roman" w:hAnsi="Times New Roman"/>
          <w:sz w:val="16"/>
          <w:szCs w:val="16"/>
          <w:b w:val="1"/>
          <w:bCs w:val="1"/>
          <w:i w:val="1"/>
          <w:iCs w:val="1"/>
          <w:color w:val="auto"/>
        </w:rPr>
        <w:t>Holdings Series B Stock</w:t>
      </w:r>
      <w:r>
        <w:rPr>
          <w:rFonts w:ascii="Times New Roman" w:cs="Times New Roman" w:eastAsia="Times New Roman" w:hAnsi="Times New Roman"/>
          <w:sz w:val="16"/>
          <w:szCs w:val="16"/>
          <w:color w:val="auto"/>
        </w:rPr>
        <w:t>”) in a private placement at $10.00 per share, for an aggregate purchase price of $1.5 million. The Holdings Series B Stock may be converted into shares of Holdings Common Stock, at the option of the investor at a rate equal to the quotient of (i) $10.00 divided, by (ii) the product of (A).80 multiplied by, (B) the volume weighted average price for the 20 trading days during the 30-day period immediately prior to such conversion, provided that in no event shall the denominator be less than $6.00 per share (the “Conversion Rate”).</w:t>
      </w:r>
    </w:p>
    <w:p>
      <w:pPr>
        <w:spacing w:after="0" w:line="166" w:lineRule="exact"/>
        <w:rPr>
          <w:sz w:val="20"/>
          <w:szCs w:val="20"/>
          <w:color w:val="auto"/>
        </w:rPr>
      </w:pPr>
    </w:p>
    <w:p>
      <w:pPr>
        <w:jc w:val="both"/>
        <w:ind w:left="5"/>
        <w:spacing w:after="0" w:line="249" w:lineRule="auto"/>
        <w:rPr>
          <w:sz w:val="20"/>
          <w:szCs w:val="20"/>
          <w:color w:val="auto"/>
        </w:rPr>
      </w:pPr>
      <w:r>
        <w:rPr>
          <w:rFonts w:ascii="Times New Roman" w:cs="Times New Roman" w:eastAsia="Times New Roman" w:hAnsi="Times New Roman"/>
          <w:sz w:val="16"/>
          <w:szCs w:val="16"/>
          <w:color w:val="auto"/>
        </w:rPr>
        <w:t>Additionally, the Holdings Series B Stock carries a cumulative dividend at a rate of nine percent (7%) per annum, payable and compounded quarterly on the last day of each quarter. At the discretion of Holdings, the payment may be made in cash or up to 50% of the amount due, in duly authorized, validly issued, fully paid and non-assessable share of Holdings Series B Stock at a value of $10 per share. As of June 30, 2025 and December 31, 2024, included in accounts payable, accrued expenses and other liabilities on the accompanying condensed consolidated statement of financial condition is an accrued dividend in the amount of $0.03 million that was paid subsequent to June 30, 2025 and December 31, 2024.</w:t>
      </w:r>
    </w:p>
    <w:p>
      <w:pPr>
        <w:spacing w:after="0" w:line="166" w:lineRule="exact"/>
        <w:rPr>
          <w:sz w:val="20"/>
          <w:szCs w:val="20"/>
          <w:color w:val="auto"/>
        </w:rPr>
      </w:pPr>
    </w:p>
    <w:p>
      <w:pPr>
        <w:jc w:val="both"/>
        <w:ind w:left="5"/>
        <w:spacing w:after="0" w:line="251" w:lineRule="auto"/>
        <w:rPr>
          <w:sz w:val="20"/>
          <w:szCs w:val="20"/>
          <w:color w:val="auto"/>
        </w:rPr>
      </w:pPr>
      <w:r>
        <w:rPr>
          <w:rFonts w:ascii="Times New Roman" w:cs="Times New Roman" w:eastAsia="Times New Roman" w:hAnsi="Times New Roman"/>
          <w:sz w:val="16"/>
          <w:szCs w:val="16"/>
          <w:color w:val="auto"/>
        </w:rPr>
        <w:t>The Company may, at its option, in whole, or part, redeem the Holdings Series B Stock any time after the first anniversary of the date of the Subscription Agreement at a redemption price equal to the greater of (i) $12.00 per share of Holdings Series B Stock, plus accrued but unpaid dividends or (A) 1.20 multiplied by (B) the volume weighted average price for 20 trading days during the 30-day period immediately prior to the redemption; provided that such price shall not greater than $20.00.</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308610</wp:posOffset>
            </wp:positionV>
            <wp:extent cx="6306185" cy="14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06185" cy="14605"/>
                    </a:xfrm>
                    <a:prstGeom prst="rect">
                      <a:avLst/>
                    </a:prstGeom>
                    <a:noFill/>
                  </pic:spPr>
                </pic:pic>
              </a:graphicData>
            </a:graphic>
          </wp:anchor>
        </w:drawing>
      </w:r>
    </w:p>
    <w:p>
      <w:pPr>
        <w:sectPr>
          <w:pgSz w:w="11900" w:h="16838" w:orient="portrait"/>
          <w:cols w:equalWidth="0" w:num="1">
            <w:col w:w="9945"/>
          </w:cols>
          <w:pgMar w:left="975" w:top="461" w:right="9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SHARE-BASED COMPENSATION</w:t>
      </w:r>
    </w:p>
    <w:p>
      <w:pPr>
        <w:spacing w:after="0" w:line="168"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6"/>
          <w:szCs w:val="16"/>
          <w:color w:val="auto"/>
        </w:rPr>
        <w:t>The Binah Capital Group, Inc. 2024 Equity Incentive Plan (the “Plan”) was established and effective March 15, 2024. The purpose of the Plan is to advance the interests of the Company and its stockholders by providing an incentive to attract, retain and reward persons performing services for the Company and by motivating such persons to contribute to the growth and profitability of the Company. The Plan seeks to achieve this purpose by providing for Awards in the form of Options, Stock Appreciation Rights, Restricted Stock Awards, Restricted Stock Units, Performance Shares, Performance Units, Cash-Based Awards and Other Stock-Based Awards.</w:t>
      </w:r>
    </w:p>
    <w:p>
      <w:pPr>
        <w:spacing w:after="0" w:line="15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Subject to adjustment as provided in the Plan, the maximum aggregate number of shares of Stock that may be issued under the Plan shall be equal to 1,600,000 shares (the “</w:t>
      </w:r>
      <w:r>
        <w:rPr>
          <w:rFonts w:ascii="Times New Roman" w:cs="Times New Roman" w:eastAsia="Times New Roman" w:hAnsi="Times New Roman"/>
          <w:sz w:val="16"/>
          <w:szCs w:val="16"/>
          <w:b w:val="1"/>
          <w:bCs w:val="1"/>
          <w:i w:val="1"/>
          <w:iCs w:val="1"/>
          <w:color w:val="auto"/>
        </w:rPr>
        <w:t>Base Reserve</w:t>
      </w:r>
      <w:r>
        <w:rPr>
          <w:rFonts w:ascii="Times New Roman" w:cs="Times New Roman" w:eastAsia="Times New Roman" w:hAnsi="Times New Roman"/>
          <w:sz w:val="16"/>
          <w:szCs w:val="16"/>
          <w:color w:val="auto"/>
        </w:rPr>
        <w:t>”) plus an annual increase, effective as of the first day of the Company’s fiscal year beginning in the year following the fiscal year in which the Company’s stockholders approved the Plan and the first day of each subsequent fiscal year through and including the first day of the Company’s fiscal year beginning on the tenth (10th) anniversary of the commencement of such annual increase, equal to the lesser of (i) ten percent (10%) of the number of shares of Stock outstanding as of the conclusion of the Company’s immediately preceding fiscal year, or (ii) such amount, if any, as the Board may determine, and such shares shall consist of authorized but unissued or reacquired shares of Stock or any combination thereof.</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 Options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Company’s stock option activity as of and for the three months ended June 30, 2025:</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Number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98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of Shares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960" w:type="dxa"/>
            <w:vAlign w:val="bottom"/>
            <w:gridSpan w:val="3"/>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Outstanding - April 1, 2025</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9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Granted</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872,500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9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Exercised</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960" w:type="dxa"/>
            <w:vAlign w:val="bottom"/>
            <w:tcBorders>
              <w:bottom w:val="single" w:sz="8" w:color="CCEEFF"/>
            </w:tcBorders>
            <w:gridSpan w:val="3"/>
          </w:tcPr>
          <w:p>
            <w:pPr>
              <w:ind w:left="80"/>
              <w:spacing w:after="0"/>
              <w:rPr>
                <w:sz w:val="20"/>
                <w:szCs w:val="20"/>
                <w:color w:val="auto"/>
              </w:rPr>
            </w:pPr>
            <w:r>
              <w:rPr>
                <w:rFonts w:ascii="Times New Roman" w:cs="Times New Roman" w:eastAsia="Times New Roman" w:hAnsi="Times New Roman"/>
                <w:sz w:val="16"/>
                <w:szCs w:val="16"/>
                <w:color w:val="auto"/>
              </w:rPr>
              <w:t>Forfeited and Expired</w:t>
            </w: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960" w:type="dxa"/>
            <w:vAlign w:val="bottom"/>
            <w:tcBorders>
              <w:bottom w:val="single" w:sz="8" w:color="CCEEFF"/>
            </w:tcBorders>
            <w:gridSpan w:val="3"/>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Outstanding - June 30, 2025</w:t>
            </w: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right w:val="single" w:sz="8" w:color="CCEEFF"/>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872,500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auto"/>
              </w:rPr>
              <w:t>Exercisable</w:t>
            </w: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940" w:type="dxa"/>
            <w:vAlign w:val="bottom"/>
          </w:tcPr>
          <w:p>
            <w:pPr>
              <w:spacing w:after="0"/>
              <w:rPr>
                <w:sz w:val="17"/>
                <w:szCs w:val="17"/>
                <w:color w:val="auto"/>
              </w:rPr>
            </w:pPr>
          </w:p>
        </w:tc>
        <w:tc>
          <w:tcPr>
            <w:tcW w:w="5020" w:type="dxa"/>
            <w:vAlign w:val="bottom"/>
            <w:gridSpan w:val="4"/>
            <w:vMerge w:val="continue"/>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6"/>
                <w:szCs w:val="16"/>
                <w:color w:val="auto"/>
              </w:rPr>
              <w:t>377,778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960" w:type="dxa"/>
            <w:vAlign w:val="bottom"/>
            <w:tcBorders>
              <w:top w:val="single" w:sz="8" w:color="CCEEFF"/>
              <w:bottom w:val="single" w:sz="8" w:color="CCEEFF"/>
            </w:tcBorders>
            <w:gridSpan w:val="3"/>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Exercisable and expected to vest June 30, 2025</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86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right w:val="single" w:sz="8" w:color="CCEEFF"/>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377,778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96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auto"/>
                <w:w w:val="97"/>
              </w:rPr>
              <w:t>The following table summarizes information about the outstanding options as of June 30, 2025:</w:t>
            </w: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5960" w:type="dxa"/>
            <w:vAlign w:val="bottom"/>
            <w:gridSpan w:val="5"/>
            <w:vMerge w:val="continue"/>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color w:val="auto"/>
                <w:w w:val="97"/>
              </w:rPr>
              <w:t>Outstanding</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Exercisable</w:t>
            </w:r>
          </w:p>
        </w:tc>
        <w:tc>
          <w:tcPr>
            <w:tcW w:w="0" w:type="dxa"/>
            <w:vAlign w:val="bottom"/>
          </w:tcPr>
          <w:p>
            <w:pPr>
              <w:spacing w:after="0"/>
              <w:rPr>
                <w:sz w:val="1"/>
                <w:szCs w:val="1"/>
                <w:color w:val="auto"/>
              </w:rPr>
            </w:pPr>
          </w:p>
        </w:tc>
      </w:tr>
      <w:tr>
        <w:trPr>
          <w:trHeight w:val="187"/>
        </w:trPr>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4"/>
              </w:rPr>
              <w:t>Weighted-</w:t>
            </w:r>
          </w:p>
        </w:tc>
        <w:tc>
          <w:tcPr>
            <w:tcW w:w="10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w w:val="94"/>
              </w:rPr>
              <w:t>Weighted-</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w w:val="97"/>
              </w:rPr>
              <w:t>Weighted-</w:t>
            </w:r>
          </w:p>
        </w:tc>
        <w:tc>
          <w:tcPr>
            <w:tcW w:w="0" w:type="dxa"/>
            <w:vAlign w:val="bottom"/>
          </w:tcPr>
          <w:p>
            <w:pPr>
              <w:spacing w:after="0"/>
              <w:rPr>
                <w:sz w:val="1"/>
                <w:szCs w:val="1"/>
                <w:color w:val="auto"/>
              </w:rPr>
            </w:pPr>
          </w:p>
        </w:tc>
      </w:tr>
      <w:tr>
        <w:trPr>
          <w:trHeight w:val="187"/>
        </w:trPr>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5"/>
              </w:rPr>
              <w:t>Average</w:t>
            </w:r>
          </w:p>
        </w:tc>
        <w:tc>
          <w:tcPr>
            <w:tcW w:w="10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w w:val="95"/>
              </w:rPr>
              <w:t>Average</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w w:val="92"/>
              </w:rPr>
              <w:t>Average</w:t>
            </w:r>
          </w:p>
        </w:tc>
        <w:tc>
          <w:tcPr>
            <w:tcW w:w="0" w:type="dxa"/>
            <w:vAlign w:val="bottom"/>
          </w:tcPr>
          <w:p>
            <w:pPr>
              <w:spacing w:after="0"/>
              <w:rPr>
                <w:sz w:val="1"/>
                <w:szCs w:val="1"/>
                <w:color w:val="auto"/>
              </w:rPr>
            </w:pPr>
          </w:p>
        </w:tc>
      </w:tr>
      <w:tr>
        <w:trPr>
          <w:trHeight w:val="187"/>
        </w:trPr>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7"/>
              </w:rPr>
              <w:t>Number of</w:t>
            </w:r>
          </w:p>
        </w:tc>
        <w:tc>
          <w:tcPr>
            <w:tcW w:w="8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w w:val="97"/>
              </w:rPr>
              <w:t>Exercise</w:t>
            </w:r>
          </w:p>
        </w:tc>
        <w:tc>
          <w:tcPr>
            <w:tcW w:w="10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w w:val="96"/>
              </w:rPr>
              <w:t>Remaining</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Number of</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w w:val="97"/>
              </w:rPr>
              <w:t>Exercise</w:t>
            </w:r>
          </w:p>
        </w:tc>
        <w:tc>
          <w:tcPr>
            <w:tcW w:w="0" w:type="dxa"/>
            <w:vAlign w:val="bottom"/>
          </w:tcPr>
          <w:p>
            <w:pPr>
              <w:spacing w:after="0"/>
              <w:rPr>
                <w:sz w:val="1"/>
                <w:szCs w:val="1"/>
                <w:color w:val="auto"/>
              </w:rPr>
            </w:pPr>
          </w:p>
        </w:tc>
      </w:tr>
      <w:tr>
        <w:trPr>
          <w:trHeight w:val="203"/>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w w:val="99"/>
              </w:rPr>
              <w:t>Exercise Price</w:t>
            </w:r>
          </w:p>
        </w:tc>
        <w:tc>
          <w:tcPr>
            <w:tcW w:w="6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8"/>
              </w:rPr>
              <w:t>Shares</w:t>
            </w:r>
          </w:p>
        </w:tc>
        <w:tc>
          <w:tcPr>
            <w:tcW w:w="8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7"/>
              </w:rPr>
              <w:t>Price</w:t>
            </w:r>
          </w:p>
        </w:tc>
        <w:tc>
          <w:tcPr>
            <w:tcW w:w="10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w w:val="96"/>
              </w:rPr>
              <w:t>Life (Years)</w:t>
            </w:r>
          </w:p>
        </w:tc>
        <w:tc>
          <w:tcPr>
            <w:tcW w:w="840" w:type="dxa"/>
            <w:vAlign w:val="bottom"/>
          </w:tcPr>
          <w:p>
            <w:pPr>
              <w:jc w:val="right"/>
              <w:ind w:right="145"/>
              <w:spacing w:after="0"/>
              <w:rPr>
                <w:sz w:val="20"/>
                <w:szCs w:val="20"/>
                <w:color w:val="auto"/>
              </w:rPr>
            </w:pPr>
            <w:r>
              <w:rPr>
                <w:rFonts w:ascii="Times New Roman" w:cs="Times New Roman" w:eastAsia="Times New Roman" w:hAnsi="Times New Roman"/>
                <w:sz w:val="16"/>
                <w:szCs w:val="16"/>
                <w:color w:val="auto"/>
              </w:rPr>
              <w:t>Shares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center"/>
              <w:ind w:right="22"/>
              <w:spacing w:after="0"/>
              <w:rPr>
                <w:sz w:val="20"/>
                <w:szCs w:val="20"/>
                <w:color w:val="auto"/>
              </w:rPr>
            </w:pPr>
            <w:r>
              <w:rPr>
                <w:rFonts w:ascii="Times New Roman" w:cs="Times New Roman" w:eastAsia="Times New Roman" w:hAnsi="Times New Roman"/>
                <w:sz w:val="16"/>
                <w:szCs w:val="16"/>
                <w:color w:val="auto"/>
                <w:w w:val="97"/>
              </w:rPr>
              <w:t>Price</w:t>
            </w:r>
          </w:p>
        </w:tc>
        <w:tc>
          <w:tcPr>
            <w:tcW w:w="0" w:type="dxa"/>
            <w:vAlign w:val="bottom"/>
          </w:tcPr>
          <w:p>
            <w:pPr>
              <w:spacing w:after="0"/>
              <w:rPr>
                <w:sz w:val="1"/>
                <w:szCs w:val="1"/>
                <w:color w:val="auto"/>
              </w:rPr>
            </w:pPr>
          </w:p>
        </w:tc>
      </w:tr>
      <w:tr>
        <w:trPr>
          <w:trHeight w:val="179"/>
        </w:trPr>
        <w:tc>
          <w:tcPr>
            <w:tcW w:w="940" w:type="dxa"/>
            <w:vAlign w:val="bottom"/>
            <w:tcBorders>
              <w:top w:val="single" w:sz="8" w:color="CCEEFF"/>
              <w:bottom w:val="single" w:sz="8" w:color="CCEEFF"/>
            </w:tcBorders>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$2.04</w:t>
            </w:r>
          </w:p>
        </w:tc>
        <w:tc>
          <w:tcPr>
            <w:tcW w:w="40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872,500</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CCEEFF"/>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2.04</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gridSpan w:val="2"/>
            <w:shd w:val="clear" w:color="auto" w:fill="CCEEFF"/>
          </w:tcPr>
          <w:p>
            <w:pPr>
              <w:jc w:val="right"/>
              <w:ind w:right="60"/>
              <w:spacing w:after="0" w:line="179" w:lineRule="exact"/>
              <w:rPr>
                <w:sz w:val="20"/>
                <w:szCs w:val="20"/>
                <w:color w:val="auto"/>
              </w:rPr>
            </w:pPr>
            <w:r>
              <w:rPr>
                <w:rFonts w:ascii="Times New Roman" w:cs="Times New Roman" w:eastAsia="Times New Roman" w:hAnsi="Times New Roman"/>
                <w:sz w:val="16"/>
                <w:szCs w:val="16"/>
                <w:color w:val="auto"/>
              </w:rPr>
              <w:t>10</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right w:val="single" w:sz="8" w:color="CCEEFF"/>
            </w:tcBorders>
            <w:shd w:val="clear" w:color="auto" w:fill="CCEEFF"/>
          </w:tcPr>
          <w:p>
            <w:pPr>
              <w:jc w:val="right"/>
              <w:ind w:right="5"/>
              <w:spacing w:after="0" w:line="179" w:lineRule="exact"/>
              <w:rPr>
                <w:sz w:val="20"/>
                <w:szCs w:val="20"/>
                <w:color w:val="auto"/>
              </w:rPr>
            </w:pPr>
            <w:r>
              <w:rPr>
                <w:rFonts w:ascii="Times New Roman" w:cs="Times New Roman" w:eastAsia="Times New Roman" w:hAnsi="Times New Roman"/>
                <w:sz w:val="16"/>
                <w:szCs w:val="16"/>
                <w:color w:val="auto"/>
              </w:rPr>
              <w:t>377,778</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CCEEFF"/>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2.04</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Restricted Stock and Stock Units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summarizes the Company’s activity in its restricted stock awards and stock units as of and for the three months ended June 30, 2025: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4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100" w:type="dxa"/>
            <w:vAlign w:val="bottom"/>
            <w:gridSpan w:val="5"/>
          </w:tcPr>
          <w:p>
            <w:pPr>
              <w:ind w:left="360"/>
              <w:spacing w:after="0"/>
              <w:rPr>
                <w:sz w:val="20"/>
                <w:szCs w:val="20"/>
                <w:color w:val="auto"/>
              </w:rPr>
            </w:pPr>
            <w:r>
              <w:rPr>
                <w:rFonts w:ascii="Times New Roman" w:cs="Times New Roman" w:eastAsia="Times New Roman" w:hAnsi="Times New Roman"/>
                <w:sz w:val="12"/>
                <w:szCs w:val="12"/>
                <w:color w:val="auto"/>
              </w:rPr>
              <w:t>Restricted Stock Awards</w:t>
            </w:r>
          </w:p>
        </w:tc>
        <w:tc>
          <w:tcPr>
            <w:tcW w:w="1960" w:type="dxa"/>
            <w:vAlign w:val="bottom"/>
            <w:gridSpan w:val="4"/>
          </w:tcPr>
          <w:p>
            <w:pPr>
              <w:jc w:val="right"/>
              <w:ind w:right="348"/>
              <w:spacing w:after="0"/>
              <w:rPr>
                <w:sz w:val="20"/>
                <w:szCs w:val="20"/>
                <w:color w:val="auto"/>
              </w:rPr>
            </w:pPr>
            <w:r>
              <w:rPr>
                <w:rFonts w:ascii="Times New Roman" w:cs="Times New Roman" w:eastAsia="Times New Roman" w:hAnsi="Times New Roman"/>
                <w:sz w:val="12"/>
                <w:szCs w:val="12"/>
                <w:color w:val="auto"/>
              </w:rPr>
              <w:t>Restricted Stock Units</w:t>
            </w:r>
          </w:p>
        </w:tc>
        <w:tc>
          <w:tcPr>
            <w:tcW w:w="0" w:type="dxa"/>
            <w:vAlign w:val="bottom"/>
          </w:tcPr>
          <w:p>
            <w:pPr>
              <w:spacing w:after="0"/>
              <w:rPr>
                <w:sz w:val="1"/>
                <w:szCs w:val="1"/>
                <w:color w:val="auto"/>
              </w:rPr>
            </w:pPr>
          </w:p>
        </w:tc>
      </w:tr>
      <w:tr>
        <w:trPr>
          <w:trHeight w:val="128"/>
        </w:trPr>
        <w:tc>
          <w:tcPr>
            <w:tcW w:w="34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2"/>
                <w:szCs w:val="12"/>
                <w:color w:val="auto"/>
              </w:rPr>
              <w:t>Weighted-</w:t>
            </w: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48"/>
              <w:spacing w:after="0" w:line="129" w:lineRule="exact"/>
              <w:rPr>
                <w:sz w:val="20"/>
                <w:szCs w:val="20"/>
                <w:color w:val="auto"/>
              </w:rPr>
            </w:pPr>
            <w:r>
              <w:rPr>
                <w:rFonts w:ascii="Times New Roman" w:cs="Times New Roman" w:eastAsia="Times New Roman" w:hAnsi="Times New Roman"/>
                <w:sz w:val="12"/>
                <w:szCs w:val="12"/>
                <w:color w:val="auto"/>
              </w:rPr>
              <w:t>Weighted-</w:t>
            </w:r>
          </w:p>
        </w:tc>
        <w:tc>
          <w:tcPr>
            <w:tcW w:w="0" w:type="dxa"/>
            <w:vAlign w:val="bottom"/>
          </w:tcPr>
          <w:p>
            <w:pPr>
              <w:spacing w:after="0"/>
              <w:rPr>
                <w:sz w:val="1"/>
                <w:szCs w:val="1"/>
                <w:color w:val="auto"/>
              </w:rPr>
            </w:pPr>
          </w:p>
        </w:tc>
      </w:tr>
      <w:tr>
        <w:trPr>
          <w:trHeight w:val="128"/>
        </w:trPr>
        <w:tc>
          <w:tcPr>
            <w:tcW w:w="34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820" w:type="dxa"/>
            <w:vAlign w:val="bottom"/>
            <w:vMerge w:val="restart"/>
          </w:tcPr>
          <w:p>
            <w:pPr>
              <w:jc w:val="right"/>
              <w:ind w:right="69"/>
              <w:spacing w:after="0"/>
              <w:rPr>
                <w:sz w:val="20"/>
                <w:szCs w:val="20"/>
                <w:color w:val="auto"/>
              </w:rPr>
            </w:pPr>
            <w:r>
              <w:rPr>
                <w:rFonts w:ascii="Times New Roman" w:cs="Times New Roman" w:eastAsia="Times New Roman" w:hAnsi="Times New Roman"/>
                <w:sz w:val="12"/>
                <w:szCs w:val="12"/>
                <w:color w:val="auto"/>
              </w:rPr>
              <w:t>Number of</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2"/>
                <w:szCs w:val="12"/>
                <w:color w:val="auto"/>
              </w:rPr>
              <w:t>Average</w:t>
            </w:r>
          </w:p>
        </w:tc>
        <w:tc>
          <w:tcPr>
            <w:tcW w:w="840" w:type="dxa"/>
            <w:vAlign w:val="bottom"/>
            <w:vMerge w:val="restart"/>
          </w:tcPr>
          <w:p>
            <w:pPr>
              <w:jc w:val="right"/>
              <w:ind w:right="67"/>
              <w:spacing w:after="0"/>
              <w:rPr>
                <w:sz w:val="20"/>
                <w:szCs w:val="20"/>
                <w:color w:val="auto"/>
              </w:rPr>
            </w:pPr>
            <w:r>
              <w:rPr>
                <w:rFonts w:ascii="Times New Roman" w:cs="Times New Roman" w:eastAsia="Times New Roman" w:hAnsi="Times New Roman"/>
                <w:sz w:val="12"/>
                <w:szCs w:val="12"/>
                <w:color w:val="auto"/>
              </w:rPr>
              <w:t>Number of</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48"/>
              <w:spacing w:after="0" w:line="129" w:lineRule="exact"/>
              <w:rPr>
                <w:sz w:val="20"/>
                <w:szCs w:val="20"/>
                <w:color w:val="auto"/>
              </w:rPr>
            </w:pPr>
            <w:r>
              <w:rPr>
                <w:rFonts w:ascii="Times New Roman" w:cs="Times New Roman" w:eastAsia="Times New Roman" w:hAnsi="Times New Roman"/>
                <w:sz w:val="12"/>
                <w:szCs w:val="12"/>
                <w:color w:val="auto"/>
                <w:w w:val="98"/>
              </w:rPr>
              <w:t>Average</w:t>
            </w:r>
          </w:p>
        </w:tc>
        <w:tc>
          <w:tcPr>
            <w:tcW w:w="0" w:type="dxa"/>
            <w:vAlign w:val="bottom"/>
          </w:tcPr>
          <w:p>
            <w:pPr>
              <w:spacing w:after="0"/>
              <w:rPr>
                <w:sz w:val="1"/>
                <w:szCs w:val="1"/>
                <w:color w:val="auto"/>
              </w:rPr>
            </w:pPr>
          </w:p>
        </w:tc>
      </w:tr>
      <w:tr>
        <w:trPr>
          <w:trHeight w:val="128"/>
        </w:trPr>
        <w:tc>
          <w:tcPr>
            <w:tcW w:w="34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2"/>
                <w:szCs w:val="12"/>
                <w:color w:val="auto"/>
              </w:rPr>
              <w:t>Grant Date</w:t>
            </w:r>
          </w:p>
        </w:tc>
        <w:tc>
          <w:tcPr>
            <w:tcW w:w="8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48"/>
              <w:spacing w:after="0" w:line="129" w:lineRule="exact"/>
              <w:rPr>
                <w:sz w:val="20"/>
                <w:szCs w:val="20"/>
                <w:color w:val="auto"/>
              </w:rPr>
            </w:pPr>
            <w:r>
              <w:rPr>
                <w:rFonts w:ascii="Times New Roman" w:cs="Times New Roman" w:eastAsia="Times New Roman" w:hAnsi="Times New Roman"/>
                <w:sz w:val="12"/>
                <w:szCs w:val="12"/>
                <w:color w:val="auto"/>
              </w:rPr>
              <w:t>Grant Date</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20" w:type="dxa"/>
            <w:vAlign w:val="bottom"/>
          </w:tcPr>
          <w:p>
            <w:pPr>
              <w:jc w:val="right"/>
              <w:ind w:right="169"/>
              <w:spacing w:after="0"/>
              <w:rPr>
                <w:sz w:val="20"/>
                <w:szCs w:val="20"/>
                <w:color w:val="auto"/>
              </w:rPr>
            </w:pPr>
            <w:r>
              <w:rPr>
                <w:rFonts w:ascii="Times New Roman" w:cs="Times New Roman" w:eastAsia="Times New Roman" w:hAnsi="Times New Roman"/>
                <w:sz w:val="12"/>
                <w:szCs w:val="12"/>
                <w:color w:val="auto"/>
              </w:rPr>
              <w:t>Shares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color w:val="auto"/>
                <w:w w:val="97"/>
              </w:rPr>
              <w:t>Fair Value</w:t>
            </w:r>
          </w:p>
        </w:tc>
        <w:tc>
          <w:tcPr>
            <w:tcW w:w="840" w:type="dxa"/>
            <w:vAlign w:val="bottom"/>
          </w:tcPr>
          <w:p>
            <w:pPr>
              <w:jc w:val="right"/>
              <w:ind w:right="207"/>
              <w:spacing w:after="0"/>
              <w:rPr>
                <w:sz w:val="20"/>
                <w:szCs w:val="20"/>
                <w:color w:val="auto"/>
              </w:rPr>
            </w:pPr>
            <w:r>
              <w:rPr>
                <w:rFonts w:ascii="Times New Roman" w:cs="Times New Roman" w:eastAsia="Times New Roman" w:hAnsi="Times New Roman"/>
                <w:sz w:val="12"/>
                <w:szCs w:val="12"/>
                <w:color w:val="auto"/>
              </w:rPr>
              <w:t>Units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48"/>
              <w:spacing w:after="0"/>
              <w:rPr>
                <w:sz w:val="20"/>
                <w:szCs w:val="20"/>
                <w:color w:val="auto"/>
              </w:rPr>
            </w:pPr>
            <w:r>
              <w:rPr>
                <w:rFonts w:ascii="Times New Roman" w:cs="Times New Roman" w:eastAsia="Times New Roman" w:hAnsi="Times New Roman"/>
                <w:sz w:val="12"/>
                <w:szCs w:val="12"/>
                <w:color w:val="auto"/>
              </w:rPr>
              <w:t>Fair Value</w:t>
            </w:r>
          </w:p>
        </w:tc>
        <w:tc>
          <w:tcPr>
            <w:tcW w:w="0" w:type="dxa"/>
            <w:vAlign w:val="bottom"/>
          </w:tcPr>
          <w:p>
            <w:pPr>
              <w:spacing w:after="0"/>
              <w:rPr>
                <w:sz w:val="1"/>
                <w:szCs w:val="1"/>
                <w:color w:val="auto"/>
              </w:rPr>
            </w:pPr>
          </w:p>
        </w:tc>
      </w:tr>
      <w:tr>
        <w:trPr>
          <w:trHeight w:val="178"/>
        </w:trPr>
        <w:tc>
          <w:tcPr>
            <w:tcW w:w="346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Outstanding - April 1, 2025</w:t>
            </w:r>
          </w:p>
        </w:tc>
        <w:tc>
          <w:tcPr>
            <w:tcW w:w="24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7"/>
        </w:trPr>
        <w:tc>
          <w:tcPr>
            <w:tcW w:w="3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Granted</w:t>
            </w:r>
          </w:p>
        </w:tc>
        <w:tc>
          <w:tcPr>
            <w:tcW w:w="3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107,893</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0" w:type="dxa"/>
            <w:vAlign w:val="bottom"/>
          </w:tcPr>
          <w:p>
            <w:pPr>
              <w:spacing w:after="0"/>
              <w:rPr>
                <w:sz w:val="1"/>
                <w:szCs w:val="1"/>
                <w:color w:val="auto"/>
              </w:rPr>
            </w:pPr>
          </w:p>
        </w:tc>
      </w:tr>
      <w:tr>
        <w:trPr>
          <w:trHeight w:val="187"/>
        </w:trPr>
        <w:tc>
          <w:tcPr>
            <w:tcW w:w="3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Vested</w:t>
            </w:r>
          </w:p>
        </w:tc>
        <w:tc>
          <w:tcPr>
            <w:tcW w:w="3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107,893</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7"/>
        </w:trPr>
        <w:tc>
          <w:tcPr>
            <w:tcW w:w="34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Forfeited</w:t>
            </w:r>
          </w:p>
        </w:tc>
        <w:tc>
          <w:tcPr>
            <w:tcW w:w="24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8"/>
        </w:trPr>
        <w:tc>
          <w:tcPr>
            <w:tcW w:w="3460" w:type="dxa"/>
            <w:vAlign w:val="bottom"/>
            <w:tcBorders>
              <w:bottom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Outstanding - June 30, 2025</w:t>
            </w:r>
          </w:p>
        </w:tc>
        <w:tc>
          <w:tcPr>
            <w:tcW w:w="24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107,893</w:t>
            </w:r>
          </w:p>
        </w:tc>
        <w:tc>
          <w:tcPr>
            <w:tcW w:w="320" w:type="dxa"/>
            <w:vAlign w:val="bottom"/>
            <w:tcBorders>
              <w:bottom w:val="single" w:sz="8" w:color="CCEEFF"/>
            </w:tcBorders>
            <w:gridSpan w:val="2"/>
            <w:shd w:val="clear" w:color="auto" w:fill="CCEEFF"/>
          </w:tcPr>
          <w:p>
            <w:pPr>
              <w:jc w:val="right"/>
              <w:ind w:right="60"/>
              <w:spacing w:after="0" w:line="178"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2.04</w:t>
            </w: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500,000</w:t>
            </w:r>
          </w:p>
        </w:tc>
        <w:tc>
          <w:tcPr>
            <w:tcW w:w="320" w:type="dxa"/>
            <w:vAlign w:val="bottom"/>
            <w:tcBorders>
              <w:bottom w:val="single" w:sz="8" w:color="CCEEFF"/>
            </w:tcBorders>
            <w:gridSpan w:val="2"/>
            <w:shd w:val="clear" w:color="auto" w:fill="CCEEFF"/>
          </w:tcPr>
          <w:p>
            <w:pPr>
              <w:jc w:val="right"/>
              <w:ind w:right="60"/>
              <w:spacing w:after="0" w:line="178"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2.04</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Expected to vest - June 30, 2025</w:t>
            </w:r>
          </w:p>
        </w:tc>
        <w:tc>
          <w:tcPr>
            <w:tcW w:w="2400" w:type="dxa"/>
            <w:vAlign w:val="bottom"/>
            <w:vMerge w:val="restart"/>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line="20" w:lineRule="exact"/>
              <w:rPr>
                <w:sz w:val="1"/>
                <w:szCs w:val="1"/>
                <w:color w:val="auto"/>
              </w:rPr>
            </w:pPr>
          </w:p>
        </w:tc>
      </w:tr>
      <w:tr>
        <w:trPr>
          <w:trHeight w:val="162"/>
        </w:trPr>
        <w:tc>
          <w:tcPr>
            <w:tcW w:w="3460" w:type="dxa"/>
            <w:vAlign w:val="bottom"/>
            <w:vMerge w:val="continue"/>
          </w:tcPr>
          <w:p>
            <w:pPr>
              <w:spacing w:after="0"/>
              <w:rPr>
                <w:sz w:val="14"/>
                <w:szCs w:val="14"/>
                <w:color w:val="auto"/>
              </w:rPr>
            </w:pPr>
          </w:p>
        </w:tc>
        <w:tc>
          <w:tcPr>
            <w:tcW w:w="2400" w:type="dxa"/>
            <w:vAlign w:val="bottom"/>
            <w:vMerge w:val="continue"/>
          </w:tcPr>
          <w:p>
            <w:pPr>
              <w:spacing w:after="0"/>
              <w:rPr>
                <w:sz w:val="14"/>
                <w:szCs w:val="14"/>
                <w:color w:val="auto"/>
              </w:rPr>
            </w:pPr>
          </w:p>
        </w:tc>
        <w:tc>
          <w:tcPr>
            <w:tcW w:w="82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6"/>
                <w:szCs w:val="16"/>
                <w:color w:val="auto"/>
              </w:rPr>
              <w:t>107,893</w:t>
            </w:r>
          </w:p>
        </w:tc>
        <w:tc>
          <w:tcPr>
            <w:tcW w:w="32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400" w:type="dxa"/>
            <w:vAlign w:val="bottom"/>
            <w:vMerge w:val="restart"/>
          </w:tcPr>
          <w:p>
            <w:pPr>
              <w:jc w:val="right"/>
              <w:ind w:right="742"/>
              <w:spacing w:after="0"/>
              <w:rPr>
                <w:sz w:val="20"/>
                <w:szCs w:val="20"/>
                <w:color w:val="auto"/>
              </w:rPr>
            </w:pPr>
            <w:r>
              <w:rPr>
                <w:rFonts w:ascii="Times New Roman" w:cs="Times New Roman" w:eastAsia="Times New Roman" w:hAnsi="Times New Roman"/>
                <w:sz w:val="16"/>
                <w:szCs w:val="16"/>
                <w:color w:val="auto"/>
              </w:rPr>
              <w:t>19</w:t>
            </w: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8"/>
        </w:trPr>
        <w:tc>
          <w:tcPr>
            <w:tcW w:w="346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34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461" w:right="9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10. SHARE-BASED COMPENSATION </w:t>
      </w:r>
      <w:r>
        <w:rPr>
          <w:rFonts w:ascii="Times New Roman" w:cs="Times New Roman" w:eastAsia="Times New Roman" w:hAnsi="Times New Roman"/>
          <w:sz w:val="16"/>
          <w:szCs w:val="16"/>
          <w:b w:val="1"/>
          <w:bCs w:val="1"/>
          <w:i w:val="1"/>
          <w:iCs w:val="1"/>
          <w:color w:val="auto"/>
        </w:rPr>
        <w:t>(continued)</w:t>
      </w:r>
    </w:p>
    <w:p>
      <w:pPr>
        <w:spacing w:after="0" w:line="19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The Company grants restricted stock awards and restricted stock units to its employees and officers. Restricted stock awards and stock units must vest or are subject to forfeiture; however restricted stock awards are included in shares outstanding upon grant and have the same dividend and voting rights as the Company’s common stock. The Company recognized $0.3 million of share-based compensation expense related to the vesting of the restricted stock awards and stock options during the three months ended June 30, 2025. As of June 30, 2025, total unrecognized cost for restricted stock units and stock options was $1.0 million and $0.3 million, which is expected to be recognized over the remaining period of 2.5 years.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WARRANTS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warrants outstanding as of June 30, 2025:</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3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Class of Warrants</w:t>
            </w: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2"/>
                <w:szCs w:val="12"/>
                <w:b w:val="1"/>
                <w:bCs w:val="1"/>
                <w:color w:val="auto"/>
              </w:rPr>
              <w:t>Number Outstanding</w:t>
            </w:r>
          </w:p>
        </w:tc>
      </w:tr>
      <w:tr>
        <w:trPr>
          <w:trHeight w:val="178"/>
        </w:trPr>
        <w:tc>
          <w:tcPr>
            <w:tcW w:w="8100" w:type="dxa"/>
            <w:vAlign w:val="bottom"/>
            <w:tcBorders>
              <w:top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Public warrants</w:t>
            </w:r>
          </w:p>
        </w:tc>
        <w:tc>
          <w:tcPr>
            <w:tcW w:w="26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15,147,958</w:t>
            </w:r>
          </w:p>
        </w:tc>
      </w:tr>
    </w:tbl>
    <w:p>
      <w:pPr>
        <w:spacing w:after="0" w:line="170"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6"/>
          <w:szCs w:val="16"/>
          <w:color w:val="auto"/>
        </w:rPr>
        <w:t>Each whole warrant entitles the registered holder to purchase one share of Class A common stock at a price of $11.50 per share. A holder may exercise its warrants only for a whole number of shares of Class A common stock. No fractional warrants will be issued upon separation of the units and only whole warrants will trade. The Company may redeem the warrants at a price of $0.01 per share if the closing price of the Company’s Class A common stock equals or exceeds $18.00 per share for any 20 trading days within a 30-trading day period. The warrants will expire five years after the Closing Date or earlier upon redemption or liquidation.</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 warrants are classified as derivative liabilities under ASC Topic 480 or ASC Topic 815. At June 30, 2025, the fair value of the warrant liabilities is approximately $0.7 million and is included in accounts payable, accrued expenses and other liabilities on the accompanying condensed consolidated statements of financial condition. For the six months ended June 30, 2025 and 2024, included in other expenses on the condensed consolidated statement of operations is unrealized gain on the warrants in the amount of approximately $0.3 million and $0.8 million,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INCOME TAXES</w:t>
      </w:r>
    </w:p>
    <w:p>
      <w:pPr>
        <w:spacing w:after="0" w:line="191"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color w:val="auto"/>
        </w:rPr>
        <w:t>Prior to the closing the Business Combination, BMS was classified as a partnership for income tax purposes and is therefore not subject to federal, and certain state, and local income taxes. Subsequent to the closing of the Business Combination, BMS elected to be taxed as a corporation and therefore subject to federal, state and local income taxes. Binah Capital Group, Inc. and Binah Capital Corp are also corporations and subject to federal, state and local income taxes. PKSH elected to be taxed as a corporation. The PKSH Entities and WEG are taxable entities and are subject to federal, state, and local income taxes.</w:t>
      </w:r>
    </w:p>
    <w:p>
      <w:pPr>
        <w:spacing w:after="0" w:line="1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 effective tax rate was approximately 22% and (15)% for the six months ended June 30, 2025 and 2024, respectively. The effective income tax rate for the periods ended June 30, 2025 and 2024 differed significantly from the statutory rate primarily due to transaction costs that were incurred as a result of the Reverse Recapitalization, warrant revaluations, and other permanent differences. The tax provision is related to the activities of the taxable entities including Binah Capital group, Inc., BMS, PKSH Entities, Cabot Entities and WEG.</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308610</wp:posOffset>
            </wp:positionV>
            <wp:extent cx="6306185" cy="14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06185" cy="14605"/>
                    </a:xfrm>
                    <a:prstGeom prst="rect">
                      <a:avLst/>
                    </a:prstGeom>
                    <a:noFill/>
                  </pic:spPr>
                </pic:pic>
              </a:graphicData>
            </a:graphic>
          </wp:anchor>
        </w:drawing>
      </w:r>
    </w:p>
    <w:p>
      <w:pPr>
        <w:sectPr>
          <w:pgSz w:w="11900" w:h="16838" w:orient="portrait"/>
          <w:cols w:equalWidth="0" w:num="1">
            <w:col w:w="9940"/>
          </w:cols>
          <w:pgMar w:left="980" w:top="461" w:right="979" w:bottom="1440" w:gutter="0" w:footer="0" w:header="0"/>
        </w:sectPr>
      </w:pPr>
    </w:p>
    <w:bookmarkStart w:id="23" w:name="page24"/>
    <w:bookmarkEnd w:id="23"/>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13. NET INCOME (LOSS) PER SHARE</w:t>
      </w:r>
    </w:p>
    <w:p>
      <w:pPr>
        <w:spacing w:after="0" w:line="156" w:lineRule="exact"/>
        <w:rPr>
          <w:sz w:val="20"/>
          <w:szCs w:val="20"/>
          <w:color w:val="auto"/>
        </w:rPr>
      </w:pPr>
    </w:p>
    <w:p>
      <w:pPr>
        <w:jc w:val="both"/>
        <w:ind w:left="5"/>
        <w:spacing w:after="0" w:line="251" w:lineRule="auto"/>
        <w:rPr>
          <w:sz w:val="20"/>
          <w:szCs w:val="20"/>
          <w:color w:val="auto"/>
        </w:rPr>
      </w:pPr>
      <w:r>
        <w:rPr>
          <w:rFonts w:ascii="Times New Roman" w:cs="Times New Roman" w:eastAsia="Times New Roman" w:hAnsi="Times New Roman"/>
          <w:sz w:val="16"/>
          <w:szCs w:val="16"/>
          <w:color w:val="auto"/>
        </w:rPr>
        <w:t>The Series A and Series B Preferred Stock do not have similar economic rights to the common stock and management does not consider them to be in substance common shares for earnings per share (“EPS”) purposes. As a result, the weighted average Series A and Series B Preferred Stock outstanding during the period was not included in the calculation of weighted average common stock outstanding. The warrants were considered in diluted EPS under the treasury stock method, if dilutive.</w:t>
      </w:r>
    </w:p>
    <w:p>
      <w:pPr>
        <w:spacing w:after="0" w:line="129" w:lineRule="exact"/>
        <w:rPr>
          <w:sz w:val="20"/>
          <w:szCs w:val="20"/>
          <w:color w:val="auto"/>
        </w:rPr>
      </w:pPr>
    </w:p>
    <w:p>
      <w:pPr>
        <w:ind w:left="5"/>
        <w:spacing w:after="0" w:line="267" w:lineRule="auto"/>
        <w:rPr>
          <w:sz w:val="20"/>
          <w:szCs w:val="20"/>
          <w:color w:val="auto"/>
        </w:rPr>
      </w:pPr>
      <w:r>
        <w:rPr>
          <w:rFonts w:ascii="Times New Roman" w:cs="Times New Roman" w:eastAsia="Times New Roman" w:hAnsi="Times New Roman"/>
          <w:sz w:val="16"/>
          <w:szCs w:val="16"/>
          <w:color w:val="auto"/>
        </w:rPr>
        <w:t xml:space="preserve">The computation of income (loss) per share and weighted average of the Company’s common stock outstanding for the three and six months ended June 30, 2025 is as follows </w:t>
      </w:r>
      <w:r>
        <w:rPr>
          <w:rFonts w:ascii="Times New Roman" w:cs="Times New Roman" w:eastAsia="Times New Roman" w:hAnsi="Times New Roman"/>
          <w:sz w:val="16"/>
          <w:szCs w:val="16"/>
          <w:i w:val="1"/>
          <w:iCs w:val="1"/>
          <w:color w:val="auto"/>
        </w:rPr>
        <w:t>(in thousands, except per share amounts)</w:t>
      </w:r>
      <w:r>
        <w:rPr>
          <w:rFonts w:ascii="Times New Roman" w:cs="Times New Roman" w:eastAsia="Times New Roman" w:hAnsi="Times New Roman"/>
          <w:sz w:val="16"/>
          <w:szCs w:val="16"/>
          <w:color w:val="auto"/>
        </w:rPr>
        <w:t>:</w:t>
      </w:r>
    </w:p>
    <w:p>
      <w:pPr>
        <w:spacing w:after="0" w:line="113" w:lineRule="exact"/>
        <w:rPr>
          <w:sz w:val="20"/>
          <w:szCs w:val="20"/>
          <w:color w:val="auto"/>
        </w:rPr>
      </w:pPr>
    </w:p>
    <w:tbl>
      <w:tblPr>
        <w:tblLayout w:type="fixed"/>
        <w:tblInd w:w="5" w:type="dxa"/>
        <w:tblCellMar>
          <w:top w:w="0" w:type="dxa"/>
          <w:left w:w="0" w:type="dxa"/>
          <w:bottom w:w="0" w:type="dxa"/>
          <w:right w:w="0" w:type="dxa"/>
        </w:tblCellMar>
      </w:tblPr>
      <w:tr>
        <w:trPr>
          <w:trHeight w:val="138"/>
        </w:trPr>
        <w:tc>
          <w:tcPr>
            <w:tcW w:w="6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rPr>
              <w:t>Three Months</w:t>
            </w:r>
          </w:p>
        </w:tc>
        <w:tc>
          <w:tcPr>
            <w:tcW w:w="12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Six Months</w:t>
            </w:r>
          </w:p>
        </w:tc>
      </w:tr>
      <w:tr>
        <w:trPr>
          <w:trHeight w:val="128"/>
        </w:trPr>
        <w:tc>
          <w:tcPr>
            <w:tcW w:w="6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gridSpan w:val="2"/>
          </w:tcPr>
          <w:p>
            <w:pPr>
              <w:jc w:val="center"/>
              <w:ind w:right="480"/>
              <w:spacing w:after="0" w:line="129" w:lineRule="exact"/>
              <w:rPr>
                <w:sz w:val="20"/>
                <w:szCs w:val="20"/>
                <w:color w:val="auto"/>
              </w:rPr>
            </w:pPr>
            <w:r>
              <w:rPr>
                <w:rFonts w:ascii="Times New Roman" w:cs="Times New Roman" w:eastAsia="Times New Roman" w:hAnsi="Times New Roman"/>
                <w:sz w:val="12"/>
                <w:szCs w:val="12"/>
                <w:b w:val="1"/>
                <w:bCs w:val="1"/>
                <w:color w:val="auto"/>
              </w:rPr>
              <w:t>ended June 30,</w:t>
            </w:r>
          </w:p>
        </w:tc>
        <w:tc>
          <w:tcPr>
            <w:tcW w:w="128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rPr>
              <w:t>Ended June 30,</w:t>
            </w:r>
          </w:p>
        </w:tc>
      </w:tr>
      <w:tr>
        <w:trPr>
          <w:trHeight w:val="150"/>
        </w:trPr>
        <w:tc>
          <w:tcPr>
            <w:tcW w:w="69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6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78"/>
        </w:trPr>
        <w:tc>
          <w:tcPr>
            <w:tcW w:w="694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(654)</w:t>
            </w: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378</w:t>
            </w:r>
          </w:p>
        </w:tc>
      </w:tr>
      <w:tr>
        <w:trPr>
          <w:trHeight w:val="187"/>
        </w:trPr>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Basic and diluted weighted average shares outstanding, common stock</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16,602</w:t>
            </w:r>
          </w:p>
        </w:tc>
        <w:tc>
          <w:tcPr>
            <w:tcW w:w="26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16,602</w:t>
            </w:r>
          </w:p>
        </w:tc>
      </w:tr>
      <w:tr>
        <w:trPr>
          <w:trHeight w:val="178"/>
        </w:trPr>
        <w:tc>
          <w:tcPr>
            <w:tcW w:w="6940" w:type="dxa"/>
            <w:vAlign w:val="bottom"/>
            <w:tcBorders>
              <w:bottom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Basic and diluted income (loss) per share of common stock</w:t>
            </w:r>
          </w:p>
        </w:tc>
        <w:tc>
          <w:tcPr>
            <w:tcW w:w="20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(0.04)</w:t>
            </w:r>
          </w:p>
        </w:tc>
        <w:tc>
          <w:tcPr>
            <w:tcW w:w="26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0.02</w:t>
            </w:r>
          </w:p>
        </w:tc>
      </w:tr>
      <w:tr>
        <w:trPr>
          <w:trHeight w:val="20"/>
        </w:trPr>
        <w:tc>
          <w:tcPr>
            <w:tcW w:w="6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jc w:val="both"/>
        <w:ind w:left="5"/>
        <w:spacing w:after="0" w:line="267" w:lineRule="auto"/>
        <w:rPr>
          <w:sz w:val="20"/>
          <w:szCs w:val="20"/>
          <w:color w:val="auto"/>
        </w:rPr>
      </w:pPr>
      <w:r>
        <w:rPr>
          <w:rFonts w:ascii="Times New Roman" w:cs="Times New Roman" w:eastAsia="Times New Roman" w:hAnsi="Times New Roman"/>
          <w:sz w:val="16"/>
          <w:szCs w:val="16"/>
          <w:color w:val="auto"/>
        </w:rPr>
        <w:t xml:space="preserve">The following table details the securities that have been excluded from the calculation of weighted-average shares for diluted earnings per share for the period presented as they were anti-dilutive </w:t>
      </w:r>
      <w:r>
        <w:rPr>
          <w:rFonts w:ascii="Times New Roman" w:cs="Times New Roman" w:eastAsia="Times New Roman" w:hAnsi="Times New Roman"/>
          <w:sz w:val="16"/>
          <w:szCs w:val="16"/>
          <w:i w:val="1"/>
          <w:iCs w:val="1"/>
          <w:color w:val="auto"/>
        </w:rPr>
        <w:t>(in thousands)</w:t>
      </w:r>
      <w:r>
        <w:rPr>
          <w:rFonts w:ascii="Times New Roman" w:cs="Times New Roman" w:eastAsia="Times New Roman" w:hAnsi="Times New Roman"/>
          <w:sz w:val="16"/>
          <w:szCs w:val="16"/>
          <w:color w:val="auto"/>
        </w:rPr>
        <w:t>.</w:t>
      </w:r>
    </w:p>
    <w:p>
      <w:pPr>
        <w:spacing w:after="0" w:line="124" w:lineRule="exact"/>
        <w:rPr>
          <w:sz w:val="20"/>
          <w:szCs w:val="20"/>
          <w:color w:val="auto"/>
        </w:rPr>
      </w:pPr>
    </w:p>
    <w:tbl>
      <w:tblPr>
        <w:tblLayout w:type="fixed"/>
        <w:tblInd w:w="5" w:type="dxa"/>
        <w:tblCellMar>
          <w:top w:w="0" w:type="dxa"/>
          <w:left w:w="0" w:type="dxa"/>
          <w:bottom w:w="0" w:type="dxa"/>
          <w:right w:w="0" w:type="dxa"/>
        </w:tblCellMar>
      </w:tblPr>
      <w:tr>
        <w:trPr>
          <w:trHeight w:val="138"/>
        </w:trPr>
        <w:tc>
          <w:tcPr>
            <w:tcW w:w="7060" w:type="dxa"/>
            <w:vAlign w:val="bottom"/>
          </w:tcPr>
          <w:p>
            <w:pPr>
              <w:spacing w:after="0"/>
              <w:rPr>
                <w:sz w:val="12"/>
                <w:szCs w:val="12"/>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Three Months</w:t>
            </w: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Six Months</w:t>
            </w:r>
          </w:p>
        </w:tc>
      </w:tr>
      <w:tr>
        <w:trPr>
          <w:trHeight w:val="128"/>
        </w:trPr>
        <w:tc>
          <w:tcPr>
            <w:tcW w:w="7060" w:type="dxa"/>
            <w:vAlign w:val="bottom"/>
          </w:tcPr>
          <w:p>
            <w:pPr>
              <w:spacing w:after="0"/>
              <w:rPr>
                <w:sz w:val="11"/>
                <w:szCs w:val="11"/>
                <w:color w:val="auto"/>
              </w:rPr>
            </w:pPr>
          </w:p>
        </w:tc>
        <w:tc>
          <w:tcPr>
            <w:tcW w:w="156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2"/>
                <w:szCs w:val="12"/>
                <w:b w:val="1"/>
                <w:bCs w:val="1"/>
                <w:color w:val="auto"/>
              </w:rPr>
              <w:t>ended June 30,</w:t>
            </w:r>
          </w:p>
        </w:tc>
        <w:tc>
          <w:tcPr>
            <w:tcW w:w="130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rPr>
              <w:t>Ended June 30,</w:t>
            </w:r>
          </w:p>
        </w:tc>
      </w:tr>
      <w:tr>
        <w:trPr>
          <w:trHeight w:val="150"/>
        </w:trPr>
        <w:tc>
          <w:tcPr>
            <w:tcW w:w="706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26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78"/>
        </w:trPr>
        <w:tc>
          <w:tcPr>
            <w:tcW w:w="7060" w:type="dxa"/>
            <w:vAlign w:val="bottom"/>
            <w:tcBorders>
              <w:bottom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Warrants</w:t>
            </w:r>
          </w:p>
        </w:tc>
        <w:tc>
          <w:tcPr>
            <w:tcW w:w="130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15,147</w:t>
            </w:r>
          </w:p>
        </w:tc>
        <w:tc>
          <w:tcPr>
            <w:tcW w:w="26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15,147</w:t>
            </w:r>
          </w:p>
        </w:tc>
      </w:tr>
      <w:tr>
        <w:trPr>
          <w:trHeight w:val="20"/>
        </w:trPr>
        <w:tc>
          <w:tcPr>
            <w:tcW w:w="70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5" w:right="6680" w:hanging="5"/>
        <w:spacing w:after="0" w:line="442" w:lineRule="auto"/>
        <w:tabs>
          <w:tab w:leader="none" w:pos="285" w:val="left"/>
        </w:tabs>
        <w:numPr>
          <w:ilvl w:val="0"/>
          <w:numId w:val="2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COMMITMENTS AND CONTINGENCIES Litigation</w:t>
      </w:r>
    </w:p>
    <w:p>
      <w:pPr>
        <w:spacing w:after="0" w:line="1" w:lineRule="exact"/>
        <w:rPr>
          <w:sz w:val="20"/>
          <w:szCs w:val="20"/>
          <w:color w:val="auto"/>
        </w:rPr>
      </w:pPr>
    </w:p>
    <w:p>
      <w:pPr>
        <w:jc w:val="both"/>
        <w:ind w:left="5"/>
        <w:spacing w:after="0" w:line="249" w:lineRule="auto"/>
        <w:rPr>
          <w:sz w:val="20"/>
          <w:szCs w:val="20"/>
          <w:color w:val="auto"/>
        </w:rPr>
      </w:pPr>
      <w:r>
        <w:rPr>
          <w:rFonts w:ascii="Times New Roman" w:cs="Times New Roman" w:eastAsia="Times New Roman" w:hAnsi="Times New Roman"/>
          <w:sz w:val="16"/>
          <w:szCs w:val="16"/>
          <w:color w:val="auto"/>
        </w:rPr>
        <w:t>Certain conditions may exist as of the date the condensed consolidated financial statements are issued which may result in a loss to the Company, but which will only be resolved when one or more future events occur or fail to occur. The Company assesses such contingent liabilities, and such assessment inherently involves an exercise of judgment. In assessing loss contingencies related to legal proceedings that are pending against the Company, or unasserted claims that may result in such proceedings, the Company evaluates the perceived merits of any legal proceedings or unasserted claims, as well as the perceived merits of the amount of relief sought or expected to be sought therein.</w:t>
      </w:r>
    </w:p>
    <w:p>
      <w:pPr>
        <w:spacing w:after="0" w:line="131" w:lineRule="exact"/>
        <w:rPr>
          <w:sz w:val="20"/>
          <w:szCs w:val="20"/>
          <w:color w:val="auto"/>
        </w:rPr>
      </w:pPr>
    </w:p>
    <w:p>
      <w:pPr>
        <w:jc w:val="both"/>
        <w:ind w:left="5" w:right="20"/>
        <w:spacing w:after="0" w:line="249" w:lineRule="auto"/>
        <w:rPr>
          <w:sz w:val="20"/>
          <w:szCs w:val="20"/>
          <w:color w:val="auto"/>
        </w:rPr>
      </w:pPr>
      <w:r>
        <w:rPr>
          <w:rFonts w:ascii="Times New Roman" w:cs="Times New Roman" w:eastAsia="Times New Roman" w:hAnsi="Times New Roman"/>
          <w:sz w:val="16"/>
          <w:szCs w:val="16"/>
          <w:color w:val="auto"/>
        </w:rPr>
        <w:t>If the assessment of a contingency indicates that it is probable that a material loss has been incurred and the amount of the liability can be estimated, then the estimated liability would be accrued in the accompanying condensed consolidated financial statements. If the assessment indicates that a potentially material loss contingency is not probable, but is reasonably possible, or is probable but cannot be estimated, then the nature of the contingent liability and an estimate of the range of possible losses, if determinable and material, would be disclosed. Loss contingencies considered remote are generally not disclosed, unless they involve guarantees, in which case the guarantees would be disclosed.</w:t>
      </w:r>
    </w:p>
    <w:p>
      <w:pPr>
        <w:spacing w:after="0" w:line="143" w:lineRule="exact"/>
        <w:rPr>
          <w:sz w:val="20"/>
          <w:szCs w:val="20"/>
          <w:color w:val="auto"/>
        </w:rPr>
      </w:pPr>
    </w:p>
    <w:p>
      <w:pPr>
        <w:jc w:val="both"/>
        <w:ind w:left="5" w:right="20"/>
        <w:spacing w:after="0" w:line="267" w:lineRule="auto"/>
        <w:rPr>
          <w:sz w:val="20"/>
          <w:szCs w:val="20"/>
          <w:color w:val="auto"/>
        </w:rPr>
      </w:pPr>
      <w:r>
        <w:rPr>
          <w:rFonts w:ascii="Times New Roman" w:cs="Times New Roman" w:eastAsia="Times New Roman" w:hAnsi="Times New Roman"/>
          <w:sz w:val="16"/>
          <w:szCs w:val="16"/>
          <w:color w:val="auto"/>
        </w:rPr>
        <w:t>There can be no assurance that such matters will not materially and adversely affect the Company’s business, financial position, and results of operations or cash flows.</w:t>
      </w:r>
    </w:p>
    <w:p>
      <w:pPr>
        <w:spacing w:after="0" w:line="116" w:lineRule="exact"/>
        <w:rPr>
          <w:sz w:val="20"/>
          <w:szCs w:val="20"/>
          <w:color w:val="auto"/>
        </w:rPr>
      </w:pPr>
    </w:p>
    <w:p>
      <w:pPr>
        <w:jc w:val="both"/>
        <w:ind w:left="5" w:right="20"/>
        <w:spacing w:after="0" w:line="251" w:lineRule="auto"/>
        <w:rPr>
          <w:sz w:val="20"/>
          <w:szCs w:val="20"/>
          <w:color w:val="auto"/>
        </w:rPr>
      </w:pPr>
      <w:r>
        <w:rPr>
          <w:rFonts w:ascii="Times New Roman" w:cs="Times New Roman" w:eastAsia="Times New Roman" w:hAnsi="Times New Roman"/>
          <w:sz w:val="16"/>
          <w:szCs w:val="16"/>
          <w:color w:val="auto"/>
        </w:rPr>
        <w:t>The Company is a defendant or respondent in various pending and threatened arbitrations, administrative proceedings and lawsuits seeking compensatory damages. Claim amounts are infrequently indicative of the actual amounts the Company will be liable for, if any. Many of these claimants also seek, in addition to compensatory damages, punitive or treble damages, and all seek interest, costs and fees. These matters arise in the normal course of business. The Company intends to vigorously defend itself in these actions, and the ultimate outcome of these matters cannot be determined at this time.</w:t>
      </w:r>
    </w:p>
    <w:p>
      <w:pPr>
        <w:spacing w:after="0" w:line="129" w:lineRule="exact"/>
        <w:rPr>
          <w:sz w:val="20"/>
          <w:szCs w:val="20"/>
          <w:color w:val="auto"/>
        </w:rPr>
      </w:pPr>
    </w:p>
    <w:p>
      <w:pPr>
        <w:jc w:val="both"/>
        <w:ind w:left="5"/>
        <w:spacing w:after="0" w:line="251" w:lineRule="auto"/>
        <w:rPr>
          <w:sz w:val="20"/>
          <w:szCs w:val="20"/>
          <w:color w:val="auto"/>
        </w:rPr>
      </w:pPr>
      <w:r>
        <w:rPr>
          <w:rFonts w:ascii="Times New Roman" w:cs="Times New Roman" w:eastAsia="Times New Roman" w:hAnsi="Times New Roman"/>
          <w:sz w:val="16"/>
          <w:szCs w:val="16"/>
          <w:color w:val="auto"/>
        </w:rPr>
        <w:t>In many lawsuits, arbitrations, and regulatory proceedings, it is not possible to determine whether a liability has been incurred or to estimate the amount of that liability until the matter is close to resolution. However, accruals are reviewed regularly and are adjusted to reflect management’s estimates of the impact of developments, rulings, advice of counsel and any other information pertinent to a particular matter. As of June 30, 2025, the Company has accrued $0.7 million, which is net of $1.0 million of insurance proceeds related to settlements subsequent to period end.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308610</wp:posOffset>
            </wp:positionV>
            <wp:extent cx="6306185" cy="14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06185" cy="14605"/>
                    </a:xfrm>
                    <a:prstGeom prst="rect">
                      <a:avLst/>
                    </a:prstGeom>
                    <a:noFill/>
                  </pic:spPr>
                </pic:pic>
              </a:graphicData>
            </a:graphic>
          </wp:anchor>
        </w:drawing>
      </w:r>
    </w:p>
    <w:p>
      <w:pPr>
        <w:sectPr>
          <w:pgSz w:w="11900" w:h="16838" w:orient="portrait"/>
          <w:cols w:equalWidth="0" w:num="1">
            <w:col w:w="9945"/>
          </w:cols>
          <w:pgMar w:left="975" w:top="461" w:right="979" w:bottom="1440" w:gutter="0" w:footer="0" w:header="0"/>
        </w:sectPr>
      </w:pPr>
    </w:p>
    <w:bookmarkStart w:id="24" w:name="page25"/>
    <w:bookmarkEnd w:id="24"/>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 xml:space="preserve">14. COMMITMENTS AND CONTINGENCIES </w:t>
      </w:r>
      <w:r>
        <w:rPr>
          <w:rFonts w:ascii="Times New Roman" w:cs="Times New Roman" w:eastAsia="Times New Roman" w:hAnsi="Times New Roman"/>
          <w:sz w:val="17"/>
          <w:szCs w:val="17"/>
          <w:b w:val="1"/>
          <w:bCs w:val="1"/>
          <w:i w:val="1"/>
          <w:iCs w:val="1"/>
          <w:color w:val="auto"/>
        </w:rPr>
        <w:t>(continued)</w:t>
      </w:r>
    </w:p>
    <w:p>
      <w:pPr>
        <w:spacing w:after="0" w:line="163" w:lineRule="exact"/>
        <w:rPr>
          <w:sz w:val="20"/>
          <w:szCs w:val="20"/>
          <w:color w:val="auto"/>
        </w:rPr>
      </w:pPr>
    </w:p>
    <w:p>
      <w:pPr>
        <w:jc w:val="both"/>
        <w:ind w:left="5"/>
        <w:spacing w:after="0" w:line="249" w:lineRule="auto"/>
        <w:rPr>
          <w:sz w:val="20"/>
          <w:szCs w:val="20"/>
          <w:color w:val="auto"/>
        </w:rPr>
      </w:pPr>
      <w:r>
        <w:rPr>
          <w:rFonts w:ascii="Times New Roman" w:cs="Times New Roman" w:eastAsia="Times New Roman" w:hAnsi="Times New Roman"/>
          <w:sz w:val="16"/>
          <w:szCs w:val="16"/>
          <w:color w:val="auto"/>
        </w:rPr>
        <w:t>Because of the inherent difficulty in predicting the ultimate outcome of legal and regulatory actions, management cannot predict with certainty the eventual loss or range of loss related to such matters. The Company believes, based upon current information, that the outcome of any such legal proceeding, claim, dispute, or investigation will not have a material effect on the Company’s financial position, results of operations or cash flows. However, the actual outcomes of such legal proceedings, claims, disputes, or investigations could be material to the Company’s operating results and cash flows for a particular future period as additional information is obtained.</w:t>
      </w:r>
    </w:p>
    <w:p>
      <w:pPr>
        <w:spacing w:after="0" w:line="16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Indemnification</w:t>
      </w:r>
    </w:p>
    <w:p>
      <w:pPr>
        <w:spacing w:after="0" w:line="191" w:lineRule="exact"/>
        <w:rPr>
          <w:sz w:val="20"/>
          <w:szCs w:val="20"/>
          <w:color w:val="auto"/>
        </w:rPr>
      </w:pPr>
    </w:p>
    <w:p>
      <w:pPr>
        <w:jc w:val="both"/>
        <w:ind w:left="5"/>
        <w:spacing w:after="0" w:line="251" w:lineRule="auto"/>
        <w:rPr>
          <w:sz w:val="20"/>
          <w:szCs w:val="20"/>
          <w:color w:val="auto"/>
        </w:rPr>
      </w:pPr>
      <w:r>
        <w:rPr>
          <w:rFonts w:ascii="Times New Roman" w:cs="Times New Roman" w:eastAsia="Times New Roman" w:hAnsi="Times New Roman"/>
          <w:sz w:val="16"/>
          <w:szCs w:val="16"/>
          <w:color w:val="auto"/>
        </w:rPr>
        <w:t>The activities of the Company’s customers are transacted on either a cash or margin basis through the facilities of its clearing broker. In margin transactions, the clearing broker extends credit to the customers, subject to various regulatory and margin requirements, collateralized by cash and securities in the customer’s account. In connection with these activities, the clearing broker may also execute and clear customer transactions involving the sale of securities not yet purchased.</w:t>
      </w:r>
    </w:p>
    <w:p>
      <w:pPr>
        <w:spacing w:after="0" w:line="164" w:lineRule="exact"/>
        <w:rPr>
          <w:sz w:val="20"/>
          <w:szCs w:val="20"/>
          <w:color w:val="auto"/>
        </w:rPr>
      </w:pPr>
    </w:p>
    <w:p>
      <w:pPr>
        <w:jc w:val="both"/>
        <w:ind w:left="5"/>
        <w:spacing w:after="0" w:line="255" w:lineRule="auto"/>
        <w:rPr>
          <w:sz w:val="20"/>
          <w:szCs w:val="20"/>
          <w:color w:val="auto"/>
        </w:rPr>
      </w:pPr>
      <w:r>
        <w:rPr>
          <w:rFonts w:ascii="Times New Roman" w:cs="Times New Roman" w:eastAsia="Times New Roman" w:hAnsi="Times New Roman"/>
          <w:sz w:val="16"/>
          <w:szCs w:val="16"/>
          <w:color w:val="auto"/>
        </w:rPr>
        <w:t>These transactions may expose the Company to significant off-balance sheet risk in the event margin requirements are not sufficient to fully cover losses which the customers may incur. In the event the customers fail to satisfy their obligations to the clearing broker, the Company may be required to compensate the clearing broker for losses incurred on behalf of the customers.</w:t>
      </w:r>
    </w:p>
    <w:p>
      <w:pPr>
        <w:spacing w:after="0" w:line="160" w:lineRule="exact"/>
        <w:rPr>
          <w:sz w:val="20"/>
          <w:szCs w:val="20"/>
          <w:color w:val="auto"/>
        </w:rPr>
      </w:pPr>
    </w:p>
    <w:p>
      <w:pPr>
        <w:jc w:val="both"/>
        <w:ind w:left="5" w:right="20"/>
        <w:spacing w:after="0" w:line="267" w:lineRule="auto"/>
        <w:rPr>
          <w:sz w:val="20"/>
          <w:szCs w:val="20"/>
          <w:color w:val="auto"/>
        </w:rPr>
      </w:pPr>
      <w:r>
        <w:rPr>
          <w:rFonts w:ascii="Times New Roman" w:cs="Times New Roman" w:eastAsia="Times New Roman" w:hAnsi="Times New Roman"/>
          <w:sz w:val="16"/>
          <w:szCs w:val="16"/>
          <w:color w:val="auto"/>
        </w:rPr>
        <w:t>The Company, through its clearing broker, seeks to control the risk associated with its customers’ activities by requiring customers to maintain margin collateral in compliance with various regulatory and internal guidelines.</w:t>
      </w:r>
    </w:p>
    <w:p>
      <w:pPr>
        <w:spacing w:after="0" w:line="151" w:lineRule="exact"/>
        <w:rPr>
          <w:sz w:val="20"/>
          <w:szCs w:val="20"/>
          <w:color w:val="auto"/>
        </w:rPr>
      </w:pPr>
    </w:p>
    <w:p>
      <w:pPr>
        <w:jc w:val="both"/>
        <w:ind w:left="5" w:right="20"/>
        <w:spacing w:after="0" w:line="267" w:lineRule="auto"/>
        <w:rPr>
          <w:sz w:val="20"/>
          <w:szCs w:val="20"/>
          <w:color w:val="auto"/>
        </w:rPr>
      </w:pPr>
      <w:r>
        <w:rPr>
          <w:rFonts w:ascii="Times New Roman" w:cs="Times New Roman" w:eastAsia="Times New Roman" w:hAnsi="Times New Roman"/>
          <w:sz w:val="16"/>
          <w:szCs w:val="16"/>
          <w:color w:val="auto"/>
        </w:rPr>
        <w:t>As of June 30, 2025, and December 31, 2024, management of the Company had not been notified by any clearing brokers, nor were they otherwise aware of any potential losses relating to this indemnification.</w:t>
      </w:r>
    </w:p>
    <w:p>
      <w:pPr>
        <w:spacing w:after="0" w:line="14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15. COMMON STOCK, PREFERRED STOCK AND STOCKHOLDERS’ EQUITY</w:t>
      </w:r>
    </w:p>
    <w:p>
      <w:pPr>
        <w:spacing w:after="0" w:line="19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Company is authorized to issue 57,500,000 shares consisting of the following:</w:t>
      </w:r>
    </w:p>
    <w:p>
      <w:pPr>
        <w:spacing w:after="0" w:line="189" w:lineRule="exact"/>
        <w:rPr>
          <w:sz w:val="20"/>
          <w:szCs w:val="20"/>
          <w:color w:val="auto"/>
        </w:rPr>
      </w:pPr>
    </w:p>
    <w:p>
      <w:pPr>
        <w:ind w:left="865" w:hanging="281"/>
        <w:spacing w:after="0"/>
        <w:tabs>
          <w:tab w:leader="none" w:pos="865"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2,000,000 shares of Series A Preferred Stock, par value $0.0001 per share, 1,589,000 shares issued and outstanding as of June 30, 2025; and</w:t>
      </w:r>
    </w:p>
    <w:p>
      <w:pPr>
        <w:spacing w:after="0" w:line="189" w:lineRule="exact"/>
        <w:rPr>
          <w:rFonts w:ascii="Times New Roman" w:cs="Times New Roman" w:eastAsia="Times New Roman" w:hAnsi="Times New Roman"/>
          <w:sz w:val="16"/>
          <w:szCs w:val="16"/>
          <w:color w:val="auto"/>
        </w:rPr>
      </w:pPr>
    </w:p>
    <w:p>
      <w:pPr>
        <w:ind w:left="865" w:hanging="281"/>
        <w:spacing w:after="0"/>
        <w:tabs>
          <w:tab w:leader="none" w:pos="865"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500,000 shares of Series B Preferred Stock, par value $0.0001 per share, 150,000 shares issued and outstanding as of June 30, 2025; and</w:t>
      </w:r>
    </w:p>
    <w:p>
      <w:pPr>
        <w:spacing w:after="0" w:line="189" w:lineRule="exact"/>
        <w:rPr>
          <w:rFonts w:ascii="Times New Roman" w:cs="Times New Roman" w:eastAsia="Times New Roman" w:hAnsi="Times New Roman"/>
          <w:sz w:val="16"/>
          <w:szCs w:val="16"/>
          <w:color w:val="auto"/>
        </w:rPr>
      </w:pPr>
    </w:p>
    <w:p>
      <w:pPr>
        <w:ind w:left="865" w:hanging="281"/>
        <w:spacing w:after="0"/>
        <w:tabs>
          <w:tab w:leader="none" w:pos="865"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55,000,000 shares of Common Stock, par value $0.0001 per share, 16,602,460 shares issued and outstanding as of June 30, 2025.</w:t>
      </w:r>
    </w:p>
    <w:p>
      <w:pPr>
        <w:spacing w:after="0" w:line="370" w:lineRule="exact"/>
        <w:rPr>
          <w:rFonts w:ascii="Times New Roman" w:cs="Times New Roman" w:eastAsia="Times New Roman" w:hAnsi="Times New Roman"/>
          <w:sz w:val="16"/>
          <w:szCs w:val="16"/>
          <w:color w:val="auto"/>
        </w:rPr>
      </w:pPr>
    </w:p>
    <w:p>
      <w:pPr>
        <w:ind w:left="285" w:hanging="285"/>
        <w:spacing w:after="0"/>
        <w:tabs>
          <w:tab w:leader="none" w:pos="285" w:val="left"/>
        </w:tabs>
        <w:numPr>
          <w:ilvl w:val="0"/>
          <w:numId w:val="2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b w:val="1"/>
          <w:bCs w:val="1"/>
          <w:color w:val="auto"/>
        </w:rPr>
        <w:t>NET CAPITAL REQUIREMENTS</w:t>
      </w:r>
    </w:p>
    <w:p>
      <w:pPr>
        <w:spacing w:after="0" w:line="196" w:lineRule="exact"/>
        <w:rPr>
          <w:sz w:val="20"/>
          <w:szCs w:val="20"/>
          <w:color w:val="auto"/>
        </w:rPr>
      </w:pPr>
    </w:p>
    <w:p>
      <w:pPr>
        <w:jc w:val="both"/>
        <w:ind w:left="5" w:right="20"/>
        <w:spacing w:after="0" w:line="255" w:lineRule="auto"/>
        <w:rPr>
          <w:sz w:val="20"/>
          <w:szCs w:val="20"/>
          <w:color w:val="auto"/>
        </w:rPr>
      </w:pPr>
      <w:r>
        <w:rPr>
          <w:rFonts w:ascii="Times New Roman" w:cs="Times New Roman" w:eastAsia="Times New Roman" w:hAnsi="Times New Roman"/>
          <w:sz w:val="16"/>
          <w:szCs w:val="16"/>
          <w:color w:val="auto"/>
        </w:rPr>
        <w:t>The Company operates four registered broker-dealers that are subject to the SEC Uniform Net Capital Rule (Rule 15c3-1). This requires the Company to maintain certain minimum net capital requirements. As of June 30, 2025 and December 31, 2024, all broker-dealers had net capital in excess of the required minimums.</w:t>
      </w:r>
    </w:p>
    <w:p>
      <w:pPr>
        <w:spacing w:after="0" w:line="15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17. CREDIT RISK AND CONCENTRATIONS</w:t>
      </w:r>
    </w:p>
    <w:p>
      <w:pPr>
        <w:spacing w:after="0" w:line="191" w:lineRule="exact"/>
        <w:rPr>
          <w:sz w:val="20"/>
          <w:szCs w:val="20"/>
          <w:color w:val="auto"/>
        </w:rPr>
      </w:pPr>
    </w:p>
    <w:p>
      <w:pPr>
        <w:jc w:val="both"/>
        <w:ind w:left="5"/>
        <w:spacing w:after="0" w:line="299" w:lineRule="auto"/>
        <w:rPr>
          <w:sz w:val="20"/>
          <w:szCs w:val="20"/>
          <w:color w:val="auto"/>
        </w:rPr>
      </w:pPr>
      <w:r>
        <w:rPr>
          <w:rFonts w:ascii="Times New Roman" w:cs="Times New Roman" w:eastAsia="Times New Roman" w:hAnsi="Times New Roman"/>
          <w:sz w:val="14"/>
          <w:szCs w:val="14"/>
          <w:color w:val="auto"/>
        </w:rPr>
        <w:t>Financial instruments that subject the Company to credit risk consist principally of receivables and cash and cash equivalents. The Company performs certain credit evaluation procedures and does not require collateral for financial instruments subject to credit risk. The Company believes that credit risk is limited because the Company routinely assesses the financial strength of its counterparties and, based upon factors surrounding the credit risk of its counterparties, establishes an allowance for uncollectible accounts and, consequently, believes that its receivables credit risk exposure beyond such allowances is limited.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308610</wp:posOffset>
            </wp:positionV>
            <wp:extent cx="6306185" cy="14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06185" cy="14605"/>
                    </a:xfrm>
                    <a:prstGeom prst="rect">
                      <a:avLst/>
                    </a:prstGeom>
                    <a:noFill/>
                  </pic:spPr>
                </pic:pic>
              </a:graphicData>
            </a:graphic>
          </wp:anchor>
        </w:drawing>
      </w:r>
    </w:p>
    <w:p>
      <w:pPr>
        <w:sectPr>
          <w:pgSz w:w="11900" w:h="16838" w:orient="portrait"/>
          <w:cols w:equalWidth="0" w:num="1">
            <w:col w:w="9945"/>
          </w:cols>
          <w:pgMar w:left="975" w:top="461" w:right="9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18. SEGMENT INFORMATION</w:t>
      </w:r>
    </w:p>
    <w:p>
      <w:pPr>
        <w:spacing w:after="0" w:line="1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Effective with the consummation of the Business Combination, the Board confirmed Craig Gould as Chief Executive Officer (“CEO”) and David Shane as Chief Financial Officer (“CFO). The Company has concluded that its Chief Operating Decision Maker (“CODM”) of the group includes the CEO and CFO of the Company.</w:t>
      </w:r>
    </w:p>
    <w:p>
      <w:pPr>
        <w:spacing w:after="0" w:line="1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 xml:space="preserve">Management of the Company has determined that it has one reportable segment, given the common nature of the Company’s operations, products and services, and regulatory environment. The Company provides a platform of brokerage and investment advisory services to independent financial advisors and advisors at other financial services companies from which the Company derives its revenues and incurs expenses. See Note 4 – </w:t>
      </w:r>
      <w:r>
        <w:rPr>
          <w:rFonts w:ascii="Times New Roman" w:cs="Times New Roman" w:eastAsia="Times New Roman" w:hAnsi="Times New Roman"/>
          <w:sz w:val="16"/>
          <w:szCs w:val="16"/>
          <w:i w:val="1"/>
          <w:iCs w:val="1"/>
          <w:color w:val="auto"/>
        </w:rPr>
        <w:t>Revenue from Contracts with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Customers</w:t>
      </w:r>
      <w:r>
        <w:rPr>
          <w:rFonts w:ascii="Times New Roman" w:cs="Times New Roman" w:eastAsia="Times New Roman" w:hAnsi="Times New Roman"/>
          <w:sz w:val="16"/>
          <w:szCs w:val="16"/>
          <w:color w:val="auto"/>
        </w:rPr>
        <w:t>.</w:t>
      </w:r>
    </w:p>
    <w:p>
      <w:pPr>
        <w:spacing w:after="0" w:line="16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 xml:space="preserve">The CODM regularly reviews net income/(loss) before the provision or benefit for income taxes as presented in the Company’s condensed consolidated statements of operations for purposes of assessing performance and making decisions regarding the allocation of resources. Expenses regularly reviewed by the CODM include those line items reported on the Company’s condensed consolidated statement of operations, the most significant of which includes commissions and fees, employee compensation and benefits and professional fees. See the condensed consolidated statements of operations and Note 2 – </w:t>
      </w:r>
      <w:r>
        <w:rPr>
          <w:rFonts w:ascii="Times New Roman" w:cs="Times New Roman" w:eastAsia="Times New Roman" w:hAnsi="Times New Roman"/>
          <w:sz w:val="16"/>
          <w:szCs w:val="16"/>
          <w:i w:val="1"/>
          <w:iCs w:val="1"/>
          <w:color w:val="auto"/>
        </w:rPr>
        <w:t xml:space="preserve">Summary of Significant Accounts Policies </w:t>
      </w:r>
      <w:r>
        <w:rPr>
          <w:rFonts w:ascii="Times New Roman" w:cs="Times New Roman" w:eastAsia="Times New Roman" w:hAnsi="Times New Roman"/>
          <w:sz w:val="16"/>
          <w:szCs w:val="16"/>
          <w:color w:val="auto"/>
        </w:rPr>
        <w:t>for additional information about these lines items and the related accounting policies.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19. SUBSEQUENT EVENTS</w:t>
      </w:r>
    </w:p>
    <w:p>
      <w:pPr>
        <w:spacing w:after="0" w:line="191"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The Company evaluated subsequent events that occurred after the balance sheet date up to the date that the condensed consolidated financial statements were available to be issued.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308610</wp:posOffset>
            </wp:positionV>
            <wp:extent cx="6306185" cy="14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06185" cy="14605"/>
                    </a:xfrm>
                    <a:prstGeom prst="rect">
                      <a:avLst/>
                    </a:prstGeom>
                    <a:noFill/>
                  </pic:spPr>
                </pic:pic>
              </a:graphicData>
            </a:graphic>
          </wp:anchor>
        </w:drawing>
      </w:r>
    </w:p>
    <w:p>
      <w:pPr>
        <w:sectPr>
          <w:pgSz w:w="11900" w:h="16838" w:orient="portrait"/>
          <w:cols w:equalWidth="0" w:num="1">
            <w:col w:w="9940"/>
          </w:cols>
          <w:pgMar w:left="980" w:top="461" w:right="9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w:t>
      </w:r>
    </w:p>
    <w:p>
      <w:pPr>
        <w:spacing w:after="0" w:line="18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i w:val="1"/>
          <w:iCs w:val="1"/>
          <w:color w:val="auto"/>
        </w:rPr>
        <w:t>Any reference to Binah Capital Group, Inc. refers to Binah Capital Group, Inc. and our consolidated subsidiaries on a forward-looking basis or as the context requires, to the historical results of BMS Management Services LLC. Any reference to “BMS Management Services LLC” refers to the entities comprising the Binah Capital Group, Inc. business prior to the consummation of the Business Combination. The following discussion and analysis of the Company’s financial condition and results of operations should be read in conjunction with the condensed consolidated financial statements and the notes thereto contained elsewhere in this report and with our audited financial statements included in our Annual Report on Form 10-K for the year ended December 31, 2024, as filed with the SEC. References to the “Company,” “us” or “we” refer to Binah Capital Group, Inc.</w:t>
      </w:r>
    </w:p>
    <w:p>
      <w:pPr>
        <w:spacing w:after="0" w:line="1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The following discussion and analysis of financial condition and results of operations should be read in conjunction with the sections entitled “Part I, Item 1A. Risk Factors” and “Part II, Item 7. Management’s Discussion and Analysis of Financial Condition and Results of Operations” in our Annual Report on Form 10-K for the year ended December 31, 2024; “Part I, “Item 2. Management’s Discussion and Analysis of Financial Condition and Results of Operations” in our Quarterly Report on Form 10-Q for the period ended March 31, 2025; and “Part I, Item 1. Financial Statements” in this Quarterly Report on Form 10-Q for the period ended June 30, 2025.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Overview</w:t>
      </w:r>
    </w:p>
    <w:p>
      <w:pPr>
        <w:spacing w:after="0" w:line="19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The Company is a leading consolidator of retail wealth management businesses that owns and operates ten entities, four of which are broker-dealers, three of which are registered investment advisors, and three of which are insurance entities, that have over 1900 registered individuals working within the financial services industries.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Company focuses on three critical areas comprised of the hybrid, independent, and W2 business models to allow affiliated advisors to choose the operating model that works best for them and run their practices on their own terms. The Company’s platform adds to its flexibility by providing a variety of custody and clearing firm options to accommodate the unique business needs of advisors.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Sources of Revenue</w:t>
      </w:r>
    </w:p>
    <w:p>
      <w:pPr>
        <w:spacing w:after="0" w:line="191"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Our revenue is derived primarily from fees and commissions from products and advisory services offered by our advisors to their clients, a substantial portion of which we pay out to our advisors.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Executive Summary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Financial Highlights</w:t>
      </w:r>
    </w:p>
    <w:p>
      <w:pPr>
        <w:spacing w:after="0" w:line="19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Results for the three and six-month period ended June 30, 2025 included a net loss and net income of approximately $(0.7) million and $0.4 million and total revenue of approximately $41.5 million and $90.4 million, respectively, which compares to a net loss and total revenue of $(0.7) million and $(2.3) million and approximately $40.6 million and $82.1 million, respectively, for the three and six-month period ended June 30,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Asset Trends</w:t>
      </w:r>
    </w:p>
    <w:p>
      <w:pPr>
        <w:spacing w:after="0" w:line="1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Total advisory and brokerage assets served were $27.8 billion at June 30, 2025, compared to $25.1 billion at June 30, 2024. Total net new assets were $(0.9) billion and $(1.1) billion for the three and six-month period ended June 30, 2025, respectively, compared to $(0.8) billion and ($2.1) billion for the same period in 2024.</w:t>
      </w:r>
    </w:p>
    <w:p>
      <w:pPr>
        <w:spacing w:after="0" w:line="16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Net new advisory assets were $(0.1) billion and $0.0 billion for the three and six-month period ended June 30, 2025, respectively, compared to $0.0 billion and 0.0 billion for the same period in 2024. Advisory assets were $2.7 billion at June 30, 2025, which is an increase of 18% as compared to the $2.3 billion at June 30, 2024.</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Net new brokerage assets were $(0.8) billion and $(1.1) billion for the three and six-month period ended June 30, 2025, compared to $(0.8) billion and $(2.1) billion for the same period in 2024. Brokerage assets were $25.1 billion at June 30, 2025, up 10% from $22.8 billion at June 30, 2024.</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308610</wp:posOffset>
            </wp:positionV>
            <wp:extent cx="6306185" cy="14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06185" cy="14605"/>
                    </a:xfrm>
                    <a:prstGeom prst="rect">
                      <a:avLst/>
                    </a:prstGeom>
                    <a:noFill/>
                  </pic:spPr>
                </pic:pic>
              </a:graphicData>
            </a:graphic>
          </wp:anchor>
        </w:drawing>
      </w:r>
    </w:p>
    <w:p>
      <w:pPr>
        <w:sectPr>
          <w:pgSz w:w="11900" w:h="16838" w:orient="portrait"/>
          <w:cols w:equalWidth="0" w:num="1">
            <w:col w:w="9940"/>
          </w:cols>
          <w:pgMar w:left="980" w:top="461" w:right="9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Gross Profit Trend</w:t>
      </w:r>
    </w:p>
    <w:p>
      <w:pPr>
        <w:spacing w:after="0" w:line="1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 xml:space="preserve">Gross profit, a non-GAAP financial measure, was $8.8 million and $17.4 million for the three and six-month period ended June 30, 2025, respectively, an increase of 20% and 15% from $7.3 million and $15.1 million for the same period in 2024. See the </w:t>
      </w:r>
      <w:r>
        <w:rPr>
          <w:rFonts w:ascii="Times New Roman" w:cs="Times New Roman" w:eastAsia="Times New Roman" w:hAnsi="Times New Roman"/>
          <w:sz w:val="16"/>
          <w:szCs w:val="16"/>
          <w:i w:val="1"/>
          <w:iCs w:val="1"/>
          <w:color w:val="auto"/>
        </w:rPr>
        <w:t>“Key Performance Metrics and Non-GAAP Financial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Measures” </w:t>
      </w:r>
      <w:r>
        <w:rPr>
          <w:rFonts w:ascii="Times New Roman" w:cs="Times New Roman" w:eastAsia="Times New Roman" w:hAnsi="Times New Roman"/>
          <w:sz w:val="16"/>
          <w:szCs w:val="16"/>
          <w:color w:val="auto"/>
        </w:rPr>
        <w:t>section for additional information on gross profit.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Performance Metrics and Non-GAAP Financial Measures</w:t>
      </w:r>
    </w:p>
    <w:p>
      <w:pPr>
        <w:spacing w:after="0" w:line="19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We focus on several key metrics in evaluating the success of our business relationships and our resulting financial position and operating performance. Our key metrics of Gross Profit and EBITDA are “non-GAAP financial measures.” Our management periodically uses certain “non-GAAP financial measures,” as such term is defined under the rules of the SEC, to supplement our financial information presented in accordance with GAAP and to clarify and enhance understanding of past performance and prospects for the future. Generally, a non-GAAP financial measure is a numerical measure of a company’s operating performance, financial position or cash flows that excludes or includes amounts that are included in or excluded from the most directly comparable measure calculated and presented in accordance with GAAP. Management believes that the non-GAAP financial measures of Gross Profit and EBITDA provide investors and analysts useful insight into our financial position and operating performance. Any non-GAAP measure provided should be viewed in addition to, and not as an alternative to, the most directly comparable measure determined in accordance with U.S. GAAP. Further, the calculation of these non-GAAP financial measures may differ from the calculation of similarly titled financial measures presented by other companies and therefore may not be comparable among companies.</w:t>
      </w:r>
    </w:p>
    <w:p>
      <w:pPr>
        <w:spacing w:after="0" w:line="168"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4"/>
          <w:szCs w:val="14"/>
          <w:color w:val="auto"/>
        </w:rPr>
        <w:t>Gross profit is defined as total revenue less commissions paid to financial advisors and registered representatives and other fees that generate the revenue. We consider our gross profit amounts to be non-GAAP financial measures that may not be comparable to those of others in our industry. We believe that gross profit amounts can provide investors with useful insight into our core operating performance before other costs that are general and administrative in nature.</w:t>
      </w:r>
    </w:p>
    <w:p>
      <w:pPr>
        <w:spacing w:after="0" w:line="1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EBITDA is a non-GAAP financial measure defined as net income plus interest expense, provision for income taxes, and depreciation and amortization. The Company presents EBITDA because management believes that it can be a useful financial metric in understanding the Company’s earnings from operations. EBITDA is not a measure of the Company’s financial performance under GAAP and should not be considered as an alternative to net income or any other performance measure derived in accordance with GAAP.</w:t>
      </w:r>
    </w:p>
    <w:p>
      <w:pPr>
        <w:spacing w:after="0" w:line="16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A reconciliation of our non-GAAP financial measures to their most directly comparable GAAP financial measures appears below in the footnotes to the table of our key operating, business and financial metrics.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308610</wp:posOffset>
            </wp:positionV>
            <wp:extent cx="6306185" cy="14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06185" cy="14605"/>
                    </a:xfrm>
                    <a:prstGeom prst="rect">
                      <a:avLst/>
                    </a:prstGeom>
                    <a:noFill/>
                  </pic:spPr>
                </pic:pic>
              </a:graphicData>
            </a:graphic>
          </wp:anchor>
        </w:drawing>
      </w:r>
    </w:p>
    <w:p>
      <w:pPr>
        <w:sectPr>
          <w:pgSz w:w="11900" w:h="16838" w:orient="portrait"/>
          <w:cols w:equalWidth="0" w:num="1">
            <w:col w:w="9940"/>
          </w:cols>
          <w:pgMar w:left="980" w:top="461" w:right="979" w:bottom="1440" w:gutter="0" w:footer="0" w:header="0"/>
        </w:sectPr>
      </w:pPr>
    </w:p>
    <w:bookmarkStart w:id="28" w:name="page29"/>
    <w:bookmarkEnd w:id="28"/>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Our key operating, business and financial metrics are as follows:</w:t>
      </w:r>
    </w:p>
    <w:p>
      <w:pPr>
        <w:spacing w:after="0" w:line="196" w:lineRule="exact"/>
        <w:rPr>
          <w:sz w:val="20"/>
          <w:szCs w:val="20"/>
          <w:color w:val="auto"/>
        </w:rPr>
      </w:pPr>
    </w:p>
    <w:tbl>
      <w:tblPr>
        <w:tblLayout w:type="fixed"/>
        <w:tblInd w:w="5" w:type="dxa"/>
        <w:tblCellMar>
          <w:top w:w="0" w:type="dxa"/>
          <w:left w:w="0" w:type="dxa"/>
          <w:bottom w:w="0" w:type="dxa"/>
          <w:right w:w="0" w:type="dxa"/>
        </w:tblCellMar>
      </w:tblPr>
      <w:tr>
        <w:trPr>
          <w:trHeight w:val="150"/>
        </w:trPr>
        <w:tc>
          <w:tcPr>
            <w:tcW w:w="50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i w:val="1"/>
                <w:iCs w:val="1"/>
                <w:color w:val="auto"/>
              </w:rPr>
              <w:t>Operating Metric (dollars in billions)</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9"/>
          </w:tcPr>
          <w:p>
            <w:pPr>
              <w:jc w:val="right"/>
              <w:ind w:right="306"/>
              <w:spacing w:after="0"/>
              <w:rPr>
                <w:sz w:val="20"/>
                <w:szCs w:val="20"/>
                <w:color w:val="auto"/>
              </w:rPr>
            </w:pPr>
            <w:r>
              <w:rPr>
                <w:rFonts w:ascii="Times New Roman" w:cs="Times New Roman" w:eastAsia="Times New Roman" w:hAnsi="Times New Roman"/>
                <w:sz w:val="12"/>
                <w:szCs w:val="12"/>
                <w:b w:val="1"/>
                <w:bCs w:val="1"/>
                <w:color w:val="auto"/>
              </w:rPr>
              <w:t>As of and for the Periods Ended June 30,</w:t>
            </w:r>
          </w:p>
        </w:tc>
        <w:tc>
          <w:tcPr>
            <w:tcW w:w="0" w:type="dxa"/>
            <w:vAlign w:val="bottom"/>
          </w:tcPr>
          <w:p>
            <w:pPr>
              <w:spacing w:after="0"/>
              <w:rPr>
                <w:sz w:val="1"/>
                <w:szCs w:val="1"/>
                <w:color w:val="auto"/>
              </w:rPr>
            </w:pPr>
          </w:p>
        </w:tc>
      </w:tr>
      <w:tr>
        <w:trPr>
          <w:trHeight w:val="120"/>
        </w:trPr>
        <w:tc>
          <w:tcPr>
            <w:tcW w:w="50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2"/>
          </w:tcPr>
          <w:p>
            <w:pPr>
              <w:jc w:val="right"/>
              <w:ind w:right="491"/>
              <w:spacing w:after="0" w:line="120" w:lineRule="exact"/>
              <w:rPr>
                <w:sz w:val="20"/>
                <w:szCs w:val="20"/>
                <w:color w:val="auto"/>
              </w:rPr>
            </w:pPr>
            <w:r>
              <w:rPr>
                <w:rFonts w:ascii="Times New Roman" w:cs="Times New Roman" w:eastAsia="Times New Roman" w:hAnsi="Times New Roman"/>
                <w:sz w:val="12"/>
                <w:szCs w:val="12"/>
                <w:b w:val="1"/>
                <w:bCs w:val="1"/>
                <w:color w:val="auto"/>
                <w:w w:val="99"/>
              </w:rPr>
              <w:t>2025</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486"/>
              <w:spacing w:after="0" w:line="120" w:lineRule="exact"/>
              <w:rPr>
                <w:sz w:val="20"/>
                <w:szCs w:val="20"/>
                <w:color w:val="auto"/>
              </w:rPr>
            </w:pPr>
            <w:r>
              <w:rPr>
                <w:rFonts w:ascii="Times New Roman" w:cs="Times New Roman" w:eastAsia="Times New Roman" w:hAnsi="Times New Roman"/>
                <w:sz w:val="12"/>
                <w:szCs w:val="12"/>
                <w:b w:val="1"/>
                <w:bCs w:val="1"/>
                <w:color w:val="auto"/>
              </w:rPr>
              <w:t>2024</w:t>
            </w:r>
          </w:p>
        </w:tc>
        <w:tc>
          <w:tcPr>
            <w:tcW w:w="0" w:type="dxa"/>
            <w:vAlign w:val="bottom"/>
          </w:tcPr>
          <w:p>
            <w:pPr>
              <w:spacing w:after="0"/>
              <w:rPr>
                <w:sz w:val="1"/>
                <w:szCs w:val="1"/>
                <w:color w:val="auto"/>
              </w:rPr>
            </w:pPr>
          </w:p>
        </w:tc>
      </w:tr>
      <w:tr>
        <w:trPr>
          <w:trHeight w:val="178"/>
        </w:trPr>
        <w:tc>
          <w:tcPr>
            <w:tcW w:w="5080" w:type="dxa"/>
            <w:vAlign w:val="bottom"/>
            <w:tcBorders>
              <w:bottom w:val="single" w:sz="8" w:color="auto"/>
            </w:tcBorders>
            <w:gridSpan w:val="2"/>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Advisory and Brokerage Assets</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08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Brokerage assets</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42"/>
              <w:spacing w:after="0" w:line="178"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25.1</w:t>
            </w:r>
          </w:p>
        </w:tc>
        <w:tc>
          <w:tcPr>
            <w:tcW w:w="4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0"/>
              <w:spacing w:after="0" w:line="178"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187"/>
        </w:trPr>
        <w:tc>
          <w:tcPr>
            <w:tcW w:w="5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Advisory assets</w:t>
            </w:r>
          </w:p>
        </w:tc>
        <w:tc>
          <w:tcPr>
            <w:tcW w:w="20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178"/>
        </w:trPr>
        <w:tc>
          <w:tcPr>
            <w:tcW w:w="5080" w:type="dxa"/>
            <w:vAlign w:val="bottom"/>
            <w:gridSpan w:val="2"/>
            <w:shd w:val="clear" w:color="auto" w:fill="CCEEFF"/>
          </w:tcPr>
          <w:p>
            <w:pPr>
              <w:ind w:left="80"/>
              <w:spacing w:after="0" w:line="178" w:lineRule="exact"/>
              <w:rPr>
                <w:sz w:val="20"/>
                <w:szCs w:val="20"/>
                <w:color w:val="auto"/>
              </w:rPr>
            </w:pPr>
            <w:r>
              <w:rPr>
                <w:rFonts w:ascii="Times New Roman" w:cs="Times New Roman" w:eastAsia="Times New Roman" w:hAnsi="Times New Roman"/>
                <w:sz w:val="16"/>
                <w:szCs w:val="16"/>
                <w:b w:val="1"/>
                <w:bCs w:val="1"/>
                <w:color w:val="auto"/>
              </w:rPr>
              <w:t>Total Advisory and Brokerage Assets</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27.8</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0"/>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r>
        <w:trPr>
          <w:trHeight w:val="327"/>
        </w:trPr>
        <w:tc>
          <w:tcPr>
            <w:tcW w:w="50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Net New Assets</w:t>
            </w:r>
          </w:p>
        </w:tc>
        <w:tc>
          <w:tcPr>
            <w:tcW w:w="200" w:type="dxa"/>
            <w:vAlign w:val="bottom"/>
          </w:tcPr>
          <w:p>
            <w:pPr>
              <w:spacing w:after="0"/>
              <w:rPr>
                <w:sz w:val="24"/>
                <w:szCs w:val="24"/>
                <w:color w:val="auto"/>
              </w:rPr>
            </w:pPr>
          </w:p>
        </w:tc>
        <w:tc>
          <w:tcPr>
            <w:tcW w:w="19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3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tcBorders>
              <w:bottom w:val="single" w:sz="8" w:color="auto"/>
            </w:tcBorders>
            <w:gridSpan w:val="7"/>
          </w:tcPr>
          <w:p>
            <w:pPr>
              <w:jc w:val="right"/>
              <w:ind w:right="326"/>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0" w:type="dxa"/>
            <w:vAlign w:val="bottom"/>
          </w:tcPr>
          <w:p>
            <w:pPr>
              <w:spacing w:after="0"/>
              <w:rPr>
                <w:sz w:val="1"/>
                <w:szCs w:val="1"/>
                <w:color w:val="auto"/>
              </w:rPr>
            </w:pPr>
          </w:p>
        </w:tc>
      </w:tr>
      <w:tr>
        <w:trPr>
          <w:trHeight w:val="120"/>
        </w:trPr>
        <w:tc>
          <w:tcPr>
            <w:tcW w:w="50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ind w:left="380"/>
              <w:spacing w:after="0" w:line="120" w:lineRule="exact"/>
              <w:rPr>
                <w:sz w:val="20"/>
                <w:szCs w:val="20"/>
                <w:color w:val="auto"/>
              </w:rPr>
            </w:pPr>
            <w:r>
              <w:rPr>
                <w:rFonts w:ascii="Times New Roman" w:cs="Times New Roman" w:eastAsia="Times New Roman" w:hAnsi="Times New Roman"/>
                <w:sz w:val="12"/>
                <w:szCs w:val="12"/>
                <w:b w:val="1"/>
                <w:bCs w:val="1"/>
                <w:color w:val="auto"/>
              </w:rPr>
              <w:t>2025</w:t>
            </w:r>
          </w:p>
        </w:tc>
        <w:tc>
          <w:tcPr>
            <w:tcW w:w="340" w:type="dxa"/>
            <w:vAlign w:val="bottom"/>
          </w:tcPr>
          <w:p>
            <w:pPr>
              <w:spacing w:after="0"/>
              <w:rPr>
                <w:sz w:val="10"/>
                <w:szCs w:val="10"/>
                <w:color w:val="auto"/>
              </w:rPr>
            </w:pPr>
          </w:p>
        </w:tc>
        <w:tc>
          <w:tcPr>
            <w:tcW w:w="900" w:type="dxa"/>
            <w:vAlign w:val="bottom"/>
            <w:gridSpan w:val="4"/>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2024</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gridSpan w:val="2"/>
          </w:tcPr>
          <w:p>
            <w:pPr>
              <w:jc w:val="right"/>
              <w:ind w:right="40"/>
              <w:spacing w:after="0" w:line="120" w:lineRule="exact"/>
              <w:rPr>
                <w:sz w:val="20"/>
                <w:szCs w:val="20"/>
                <w:color w:val="auto"/>
              </w:rPr>
            </w:pPr>
            <w:r>
              <w:rPr>
                <w:rFonts w:ascii="Times New Roman" w:cs="Times New Roman" w:eastAsia="Times New Roman" w:hAnsi="Times New Roman"/>
                <w:sz w:val="12"/>
                <w:szCs w:val="12"/>
                <w:b w:val="1"/>
                <w:bCs w:val="1"/>
                <w:color w:val="auto"/>
              </w:rPr>
              <w:t>2025</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right"/>
              <w:ind w:right="306"/>
              <w:spacing w:after="0" w:line="120" w:lineRule="exact"/>
              <w:rPr>
                <w:sz w:val="20"/>
                <w:szCs w:val="20"/>
                <w:color w:val="auto"/>
              </w:rPr>
            </w:pPr>
            <w:r>
              <w:rPr>
                <w:rFonts w:ascii="Times New Roman" w:cs="Times New Roman" w:eastAsia="Times New Roman" w:hAnsi="Times New Roman"/>
                <w:sz w:val="12"/>
                <w:szCs w:val="12"/>
                <w:b w:val="1"/>
                <w:bCs w:val="1"/>
                <w:color w:val="auto"/>
              </w:rPr>
              <w:t>2024</w:t>
            </w:r>
          </w:p>
        </w:tc>
        <w:tc>
          <w:tcPr>
            <w:tcW w:w="0" w:type="dxa"/>
            <w:vAlign w:val="bottom"/>
          </w:tcPr>
          <w:p>
            <w:pPr>
              <w:spacing w:after="0"/>
              <w:rPr>
                <w:sz w:val="1"/>
                <w:szCs w:val="1"/>
                <w:color w:val="auto"/>
              </w:rPr>
            </w:pPr>
          </w:p>
        </w:tc>
      </w:tr>
      <w:tr>
        <w:trPr>
          <w:trHeight w:val="178"/>
        </w:trPr>
        <w:tc>
          <w:tcPr>
            <w:tcW w:w="5080" w:type="dxa"/>
            <w:vAlign w:val="bottom"/>
            <w:tcBorders>
              <w:top w:val="single" w:sz="8" w:color="auto"/>
            </w:tcBorders>
            <w:gridSpan w:val="2"/>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Net new brokerage assets</w:t>
            </w:r>
          </w:p>
        </w:tc>
        <w:tc>
          <w:tcPr>
            <w:tcW w:w="2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ind w:right="541"/>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(0.8)</w:t>
            </w:r>
          </w:p>
        </w:tc>
        <w:tc>
          <w:tcPr>
            <w:tcW w:w="2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97"/>
              </w:rPr>
              <w:t>(0.8)</w:t>
            </w:r>
          </w:p>
        </w:tc>
        <w:tc>
          <w:tcPr>
            <w:tcW w:w="1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ind w:right="491"/>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gridSpan w:val="2"/>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(1.1)</w:t>
            </w: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187"/>
        </w:trPr>
        <w:tc>
          <w:tcPr>
            <w:tcW w:w="5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Net new advisory assets</w:t>
            </w:r>
          </w:p>
        </w:tc>
        <w:tc>
          <w:tcPr>
            <w:tcW w:w="2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(0.0)</w:t>
            </w:r>
          </w:p>
        </w:tc>
        <w:tc>
          <w:tcPr>
            <w:tcW w:w="1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178"/>
        </w:trPr>
        <w:tc>
          <w:tcPr>
            <w:tcW w:w="508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Total Net New Assets</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41"/>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(0.9)</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97"/>
              </w:rPr>
              <w:t>(0.8)</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91"/>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4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(1.1)</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305"/>
        </w:trPr>
        <w:tc>
          <w:tcPr>
            <w:tcW w:w="24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gridSpan w:val="6"/>
          </w:tcPr>
          <w:p>
            <w:pPr>
              <w:ind w:left="380"/>
              <w:spacing w:after="0"/>
              <w:rPr>
                <w:sz w:val="20"/>
                <w:szCs w:val="20"/>
                <w:color w:val="auto"/>
              </w:rPr>
            </w:pPr>
            <w:r>
              <w:rPr>
                <w:rFonts w:ascii="Times New Roman" w:cs="Times New Roman" w:eastAsia="Times New Roman" w:hAnsi="Times New Roman"/>
                <w:sz w:val="12"/>
                <w:szCs w:val="12"/>
                <w:b w:val="1"/>
                <w:bCs w:val="1"/>
                <w:color w:val="auto"/>
              </w:rPr>
              <w:t>For the three months ended</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gridSpan w:val="7"/>
          </w:tcPr>
          <w:p>
            <w:pPr>
              <w:jc w:val="right"/>
              <w:ind w:right="366"/>
              <w:spacing w:after="0"/>
              <w:rPr>
                <w:sz w:val="20"/>
                <w:szCs w:val="20"/>
                <w:color w:val="auto"/>
              </w:rPr>
            </w:pPr>
            <w:r>
              <w:rPr>
                <w:rFonts w:ascii="Times New Roman" w:cs="Times New Roman" w:eastAsia="Times New Roman" w:hAnsi="Times New Roman"/>
                <w:sz w:val="12"/>
                <w:szCs w:val="12"/>
                <w:b w:val="1"/>
                <w:bCs w:val="1"/>
                <w:color w:val="auto"/>
              </w:rPr>
              <w:t>For the six months ended</w:t>
            </w:r>
          </w:p>
        </w:tc>
        <w:tc>
          <w:tcPr>
            <w:tcW w:w="0" w:type="dxa"/>
            <w:vAlign w:val="bottom"/>
          </w:tcPr>
          <w:p>
            <w:pPr>
              <w:spacing w:after="0"/>
              <w:rPr>
                <w:sz w:val="1"/>
                <w:szCs w:val="1"/>
                <w:color w:val="auto"/>
              </w:rPr>
            </w:pPr>
          </w:p>
        </w:tc>
      </w:tr>
      <w:tr>
        <w:trPr>
          <w:trHeight w:val="150"/>
        </w:trPr>
        <w:tc>
          <w:tcPr>
            <w:tcW w:w="50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i w:val="1"/>
                <w:iCs w:val="1"/>
                <w:color w:val="auto"/>
              </w:rPr>
              <w:t>Financial Metrics (dollars in millions)</w:t>
            </w:r>
          </w:p>
        </w:tc>
        <w:tc>
          <w:tcPr>
            <w:tcW w:w="20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5"/>
          </w:tcPr>
          <w:p>
            <w:pPr>
              <w:jc w:val="right"/>
              <w:ind w:right="502"/>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3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50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ind w:left="380"/>
              <w:spacing w:after="0" w:line="120" w:lineRule="exact"/>
              <w:rPr>
                <w:sz w:val="20"/>
                <w:szCs w:val="20"/>
                <w:color w:val="auto"/>
              </w:rPr>
            </w:pPr>
            <w:r>
              <w:rPr>
                <w:rFonts w:ascii="Times New Roman" w:cs="Times New Roman" w:eastAsia="Times New Roman" w:hAnsi="Times New Roman"/>
                <w:sz w:val="12"/>
                <w:szCs w:val="12"/>
                <w:b w:val="1"/>
                <w:bCs w:val="1"/>
                <w:color w:val="auto"/>
              </w:rPr>
              <w:t>2025</w:t>
            </w:r>
          </w:p>
        </w:tc>
        <w:tc>
          <w:tcPr>
            <w:tcW w:w="340" w:type="dxa"/>
            <w:vAlign w:val="bottom"/>
          </w:tcPr>
          <w:p>
            <w:pPr>
              <w:spacing w:after="0"/>
              <w:rPr>
                <w:sz w:val="10"/>
                <w:szCs w:val="10"/>
                <w:color w:val="auto"/>
              </w:rPr>
            </w:pPr>
          </w:p>
        </w:tc>
        <w:tc>
          <w:tcPr>
            <w:tcW w:w="900" w:type="dxa"/>
            <w:vAlign w:val="bottom"/>
            <w:gridSpan w:val="4"/>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2024</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gridSpan w:val="2"/>
          </w:tcPr>
          <w:p>
            <w:pPr>
              <w:jc w:val="right"/>
              <w:ind w:right="40"/>
              <w:spacing w:after="0" w:line="120" w:lineRule="exact"/>
              <w:rPr>
                <w:sz w:val="20"/>
                <w:szCs w:val="20"/>
                <w:color w:val="auto"/>
              </w:rPr>
            </w:pPr>
            <w:r>
              <w:rPr>
                <w:rFonts w:ascii="Times New Roman" w:cs="Times New Roman" w:eastAsia="Times New Roman" w:hAnsi="Times New Roman"/>
                <w:sz w:val="12"/>
                <w:szCs w:val="12"/>
                <w:b w:val="1"/>
                <w:bCs w:val="1"/>
                <w:color w:val="auto"/>
              </w:rPr>
              <w:t>2025</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right"/>
              <w:ind w:right="306"/>
              <w:spacing w:after="0" w:line="120" w:lineRule="exact"/>
              <w:rPr>
                <w:sz w:val="20"/>
                <w:szCs w:val="20"/>
                <w:color w:val="auto"/>
              </w:rPr>
            </w:pPr>
            <w:r>
              <w:rPr>
                <w:rFonts w:ascii="Times New Roman" w:cs="Times New Roman" w:eastAsia="Times New Roman" w:hAnsi="Times New Roman"/>
                <w:sz w:val="12"/>
                <w:szCs w:val="12"/>
                <w:b w:val="1"/>
                <w:bCs w:val="1"/>
                <w:color w:val="auto"/>
              </w:rPr>
              <w:t>2024</w:t>
            </w:r>
          </w:p>
        </w:tc>
        <w:tc>
          <w:tcPr>
            <w:tcW w:w="0" w:type="dxa"/>
            <w:vAlign w:val="bottom"/>
          </w:tcPr>
          <w:p>
            <w:pPr>
              <w:spacing w:after="0"/>
              <w:rPr>
                <w:sz w:val="1"/>
                <w:szCs w:val="1"/>
                <w:color w:val="auto"/>
              </w:rPr>
            </w:pPr>
          </w:p>
        </w:tc>
      </w:tr>
      <w:tr>
        <w:trPr>
          <w:trHeight w:val="178"/>
        </w:trPr>
        <w:tc>
          <w:tcPr>
            <w:tcW w:w="5080" w:type="dxa"/>
            <w:vAlign w:val="bottom"/>
            <w:tcBorders>
              <w:top w:val="single" w:sz="8" w:color="CCEEFF"/>
            </w:tcBorders>
            <w:gridSpan w:val="2"/>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Total revenue</w:t>
            </w:r>
          </w:p>
        </w:tc>
        <w:tc>
          <w:tcPr>
            <w:tcW w:w="2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ind w:right="541"/>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99"/>
              </w:rPr>
              <w:t>41.5</w:t>
            </w:r>
          </w:p>
        </w:tc>
        <w:tc>
          <w:tcPr>
            <w:tcW w:w="2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92"/>
              </w:rPr>
              <w:t>40.6</w:t>
            </w:r>
          </w:p>
        </w:tc>
        <w:tc>
          <w:tcPr>
            <w:tcW w:w="1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ind w:right="491"/>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gridSpan w:val="2"/>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99"/>
              </w:rPr>
              <w:t>90.4</w:t>
            </w: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82.1</w:t>
            </w:r>
          </w:p>
        </w:tc>
        <w:tc>
          <w:tcPr>
            <w:tcW w:w="0" w:type="dxa"/>
            <w:vAlign w:val="bottom"/>
          </w:tcPr>
          <w:p>
            <w:pPr>
              <w:spacing w:after="0"/>
              <w:rPr>
                <w:sz w:val="1"/>
                <w:szCs w:val="1"/>
                <w:color w:val="auto"/>
              </w:rPr>
            </w:pPr>
          </w:p>
        </w:tc>
      </w:tr>
      <w:tr>
        <w:trPr>
          <w:trHeight w:val="187"/>
        </w:trPr>
        <w:tc>
          <w:tcPr>
            <w:tcW w:w="5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860" w:type="dxa"/>
            <w:vAlign w:val="bottom"/>
            <w:gridSpan w:val="2"/>
          </w:tcPr>
          <w:p>
            <w:pPr>
              <w:jc w:val="right"/>
              <w:ind w:right="54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46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(0.7)</w:t>
            </w:r>
          </w:p>
        </w:tc>
        <w:tc>
          <w:tcPr>
            <w:tcW w:w="820" w:type="dxa"/>
            <w:vAlign w:val="bottom"/>
            <w:gridSpan w:val="2"/>
          </w:tcPr>
          <w:p>
            <w:pPr>
              <w:jc w:val="right"/>
              <w:ind w:right="491"/>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3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187"/>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Non-GAAP Financial Metrics (dollars in millions)</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080" w:type="dxa"/>
            <w:vAlign w:val="bottom"/>
            <w:gridSpan w:val="2"/>
          </w:tcPr>
          <w:p>
            <w:pPr>
              <w:spacing w:after="0" w:line="187" w:lineRule="exact"/>
              <w:rPr>
                <w:sz w:val="20"/>
                <w:szCs w:val="20"/>
                <w:color w:val="auto"/>
              </w:rPr>
            </w:pPr>
            <w:r>
              <w:rPr>
                <w:rFonts w:ascii="Times New Roman" w:cs="Times New Roman" w:eastAsia="Times New Roman" w:hAnsi="Times New Roman"/>
                <w:sz w:val="14"/>
                <w:szCs w:val="14"/>
                <w:color w:val="auto"/>
              </w:rPr>
              <w:t>Gross Profit</w:t>
            </w:r>
            <w:r>
              <w:rPr>
                <w:rFonts w:ascii="Times New Roman" w:cs="Times New Roman" w:eastAsia="Times New Roman" w:hAnsi="Times New Roman"/>
                <w:sz w:val="21"/>
                <w:szCs w:val="21"/>
                <w:color w:val="auto"/>
                <w:vertAlign w:val="superscript"/>
              </w:rPr>
              <w:t>(1)</w:t>
            </w:r>
          </w:p>
        </w:tc>
        <w:tc>
          <w:tcPr>
            <w:tcW w:w="860" w:type="dxa"/>
            <w:vAlign w:val="bottom"/>
            <w:gridSpan w:val="2"/>
          </w:tcPr>
          <w:p>
            <w:pPr>
              <w:jc w:val="right"/>
              <w:ind w:right="54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46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820" w:type="dxa"/>
            <w:vAlign w:val="bottom"/>
            <w:gridSpan w:val="2"/>
          </w:tcPr>
          <w:p>
            <w:pPr>
              <w:jc w:val="right"/>
              <w:ind w:right="491"/>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17.4</w:t>
            </w:r>
          </w:p>
        </w:tc>
        <w:tc>
          <w:tcPr>
            <w:tcW w:w="3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187"/>
        </w:trPr>
        <w:tc>
          <w:tcPr>
            <w:tcW w:w="5080" w:type="dxa"/>
            <w:vAlign w:val="bottom"/>
            <w:gridSpan w:val="2"/>
            <w:shd w:val="clear" w:color="auto" w:fill="CCEEFF"/>
          </w:tcPr>
          <w:p>
            <w:pPr>
              <w:spacing w:after="0" w:line="187" w:lineRule="exact"/>
              <w:rPr>
                <w:sz w:val="20"/>
                <w:szCs w:val="20"/>
                <w:color w:val="auto"/>
              </w:rPr>
            </w:pPr>
            <w:r>
              <w:rPr>
                <w:rFonts w:ascii="Times New Roman" w:cs="Times New Roman" w:eastAsia="Times New Roman" w:hAnsi="Times New Roman"/>
                <w:sz w:val="14"/>
                <w:szCs w:val="14"/>
                <w:color w:val="auto"/>
              </w:rPr>
              <w:t>EBITDA</w:t>
            </w:r>
            <w:r>
              <w:rPr>
                <w:rFonts w:ascii="Times New Roman" w:cs="Times New Roman" w:eastAsia="Times New Roman" w:hAnsi="Times New Roman"/>
                <w:sz w:val="21"/>
                <w:szCs w:val="21"/>
                <w:color w:val="auto"/>
                <w:vertAlign w:val="superscript"/>
              </w:rPr>
              <w:t>(2)</w:t>
            </w:r>
          </w:p>
        </w:tc>
        <w:tc>
          <w:tcPr>
            <w:tcW w:w="860" w:type="dxa"/>
            <w:vAlign w:val="bottom"/>
            <w:gridSpan w:val="2"/>
            <w:shd w:val="clear" w:color="auto" w:fill="CCEEFF"/>
          </w:tcPr>
          <w:p>
            <w:pPr>
              <w:jc w:val="right"/>
              <w:ind w:right="54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46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820" w:type="dxa"/>
            <w:vAlign w:val="bottom"/>
            <w:gridSpan w:val="2"/>
            <w:shd w:val="clear" w:color="auto" w:fill="CCEEFF"/>
          </w:tcPr>
          <w:p>
            <w:pPr>
              <w:jc w:val="right"/>
              <w:ind w:right="491"/>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3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93"/>
        </w:trPr>
        <w:tc>
          <w:tcPr>
            <w:tcW w:w="2480" w:type="dxa"/>
            <w:vAlign w:val="bottom"/>
            <w:tcBorders>
              <w:bottom w:val="single" w:sz="8" w:color="auto"/>
            </w:tcBorders>
          </w:tcPr>
          <w:p>
            <w:pPr>
              <w:spacing w:after="0"/>
              <w:rPr>
                <w:sz w:val="8"/>
                <w:szCs w:val="8"/>
                <w:color w:val="auto"/>
              </w:rPr>
            </w:pPr>
          </w:p>
        </w:tc>
        <w:tc>
          <w:tcPr>
            <w:tcW w:w="2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both"/>
        <w:ind w:left="285" w:hanging="285"/>
        <w:spacing w:after="0" w:line="251" w:lineRule="auto"/>
        <w:tabs>
          <w:tab w:leader="none" w:pos="285"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Gross profit is a non-GAAP financial measure defined as total revenue less commissions paid to financial advisors and registered representatives and other fees that generate the revenue. We consider our gross profit amounts to be non-GAAP financial measures that may not be comparable to those of others in our industry. We believe that gross profit amounts can provide investors with useful insight into our core operating performance before other costs that are general and administrative in nature. Below is a calculation of gross profit for the periods presented (in millions):</w:t>
      </w:r>
    </w:p>
    <w:p>
      <w:pPr>
        <w:spacing w:after="0" w:line="170" w:lineRule="exact"/>
        <w:rPr>
          <w:sz w:val="20"/>
          <w:szCs w:val="20"/>
          <w:color w:val="auto"/>
        </w:rPr>
      </w:pPr>
    </w:p>
    <w:tbl>
      <w:tblPr>
        <w:tblLayout w:type="fixed"/>
        <w:tblInd w:w="5" w:type="dxa"/>
        <w:tblCellMar>
          <w:top w:w="0" w:type="dxa"/>
          <w:left w:w="0" w:type="dxa"/>
          <w:bottom w:w="0" w:type="dxa"/>
          <w:right w:w="0" w:type="dxa"/>
        </w:tblCellMar>
      </w:tblPr>
      <w:tr>
        <w:trPr>
          <w:trHeight w:val="150"/>
        </w:trPr>
        <w:tc>
          <w:tcPr>
            <w:tcW w:w="24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Gross Profit</w:t>
            </w:r>
          </w:p>
        </w:tc>
        <w:tc>
          <w:tcPr>
            <w:tcW w:w="24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4"/>
          </w:tcPr>
          <w:p>
            <w:pPr>
              <w:jc w:val="right"/>
              <w:ind w:right="146"/>
              <w:spacing w:after="0"/>
              <w:rPr>
                <w:sz w:val="20"/>
                <w:szCs w:val="20"/>
                <w:color w:val="auto"/>
              </w:rPr>
            </w:pPr>
            <w:r>
              <w:rPr>
                <w:rFonts w:ascii="Times New Roman" w:cs="Times New Roman" w:eastAsia="Times New Roman" w:hAnsi="Times New Roman"/>
                <w:sz w:val="12"/>
                <w:szCs w:val="12"/>
                <w:b w:val="1"/>
                <w:bCs w:val="1"/>
                <w:color w:val="auto"/>
              </w:rPr>
              <w:t>For the three months ended June 30,</w:t>
            </w: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4"/>
          </w:tcPr>
          <w:p>
            <w:pPr>
              <w:jc w:val="right"/>
              <w:ind w:right="226"/>
              <w:spacing w:after="0"/>
              <w:rPr>
                <w:sz w:val="20"/>
                <w:szCs w:val="20"/>
                <w:color w:val="auto"/>
              </w:rPr>
            </w:pPr>
            <w:r>
              <w:rPr>
                <w:rFonts w:ascii="Times New Roman" w:cs="Times New Roman" w:eastAsia="Times New Roman" w:hAnsi="Times New Roman"/>
                <w:sz w:val="12"/>
                <w:szCs w:val="12"/>
                <w:b w:val="1"/>
                <w:bCs w:val="1"/>
                <w:color w:val="auto"/>
              </w:rPr>
              <w:t>For the six months ended June 30,</w:t>
            </w:r>
          </w:p>
        </w:tc>
        <w:tc>
          <w:tcPr>
            <w:tcW w:w="0" w:type="dxa"/>
            <w:vAlign w:val="bottom"/>
          </w:tcPr>
          <w:p>
            <w:pPr>
              <w:spacing w:after="0"/>
              <w:rPr>
                <w:sz w:val="1"/>
                <w:szCs w:val="1"/>
                <w:color w:val="auto"/>
              </w:rPr>
            </w:pPr>
          </w:p>
        </w:tc>
      </w:tr>
      <w:tr>
        <w:trPr>
          <w:trHeight w:val="120"/>
        </w:trPr>
        <w:tc>
          <w:tcPr>
            <w:tcW w:w="2480" w:type="dxa"/>
            <w:vAlign w:val="bottom"/>
            <w:tcBorders>
              <w:bottom w:val="single" w:sz="8" w:color="CCEEFF"/>
            </w:tcBorders>
            <w:vMerge w:val="continue"/>
          </w:tcPr>
          <w:p>
            <w:pPr>
              <w:spacing w:after="0"/>
              <w:rPr>
                <w:sz w:val="10"/>
                <w:szCs w:val="10"/>
                <w:color w:val="auto"/>
              </w:rPr>
            </w:pPr>
          </w:p>
        </w:tc>
        <w:tc>
          <w:tcPr>
            <w:tcW w:w="246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368"/>
              <w:spacing w:after="0" w:line="120" w:lineRule="exact"/>
              <w:rPr>
                <w:sz w:val="20"/>
                <w:szCs w:val="20"/>
                <w:color w:val="auto"/>
              </w:rPr>
            </w:pPr>
            <w:r>
              <w:rPr>
                <w:rFonts w:ascii="Times New Roman" w:cs="Times New Roman" w:eastAsia="Times New Roman" w:hAnsi="Times New Roman"/>
                <w:sz w:val="12"/>
                <w:szCs w:val="12"/>
                <w:b w:val="1"/>
                <w:bCs w:val="1"/>
                <w:color w:val="auto"/>
              </w:rPr>
              <w:t>2025</w:t>
            </w:r>
          </w:p>
        </w:tc>
        <w:tc>
          <w:tcPr>
            <w:tcW w:w="1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46"/>
              <w:spacing w:after="0" w:line="120" w:lineRule="exact"/>
              <w:rPr>
                <w:sz w:val="20"/>
                <w:szCs w:val="20"/>
                <w:color w:val="auto"/>
              </w:rPr>
            </w:pPr>
            <w:r>
              <w:rPr>
                <w:rFonts w:ascii="Times New Roman" w:cs="Times New Roman" w:eastAsia="Times New Roman" w:hAnsi="Times New Roman"/>
                <w:sz w:val="12"/>
                <w:szCs w:val="12"/>
                <w:b w:val="1"/>
                <w:bCs w:val="1"/>
                <w:color w:val="auto"/>
              </w:rPr>
              <w:t>2024</w:t>
            </w:r>
          </w:p>
        </w:tc>
        <w:tc>
          <w:tcPr>
            <w:tcW w:w="20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348"/>
              <w:spacing w:after="0" w:line="120" w:lineRule="exact"/>
              <w:rPr>
                <w:sz w:val="20"/>
                <w:szCs w:val="20"/>
                <w:color w:val="auto"/>
              </w:rPr>
            </w:pPr>
            <w:r>
              <w:rPr>
                <w:rFonts w:ascii="Times New Roman" w:cs="Times New Roman" w:eastAsia="Times New Roman" w:hAnsi="Times New Roman"/>
                <w:sz w:val="12"/>
                <w:szCs w:val="12"/>
                <w:b w:val="1"/>
                <w:bCs w:val="1"/>
                <w:color w:val="auto"/>
              </w:rPr>
              <w:t>2025</w:t>
            </w:r>
          </w:p>
        </w:tc>
        <w:tc>
          <w:tcPr>
            <w:tcW w:w="1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46"/>
              <w:spacing w:after="0" w:line="120" w:lineRule="exact"/>
              <w:rPr>
                <w:sz w:val="20"/>
                <w:szCs w:val="20"/>
                <w:color w:val="auto"/>
              </w:rPr>
            </w:pPr>
            <w:r>
              <w:rPr>
                <w:rFonts w:ascii="Times New Roman" w:cs="Times New Roman" w:eastAsia="Times New Roman" w:hAnsi="Times New Roman"/>
                <w:sz w:val="12"/>
                <w:szCs w:val="12"/>
                <w:b w:val="1"/>
                <w:bCs w:val="1"/>
                <w:color w:val="auto"/>
              </w:rPr>
              <w:t>2024</w:t>
            </w:r>
          </w:p>
        </w:tc>
        <w:tc>
          <w:tcPr>
            <w:tcW w:w="0" w:type="dxa"/>
            <w:vAlign w:val="bottom"/>
          </w:tcPr>
          <w:p>
            <w:pPr>
              <w:spacing w:after="0"/>
              <w:rPr>
                <w:sz w:val="1"/>
                <w:szCs w:val="1"/>
                <w:color w:val="auto"/>
              </w:rPr>
            </w:pPr>
          </w:p>
        </w:tc>
      </w:tr>
      <w:tr>
        <w:trPr>
          <w:trHeight w:val="178"/>
        </w:trPr>
        <w:tc>
          <w:tcPr>
            <w:tcW w:w="2480" w:type="dxa"/>
            <w:vAlign w:val="bottom"/>
            <w:shd w:val="clear" w:color="auto" w:fill="CCEEFF"/>
          </w:tcPr>
          <w:p>
            <w:pPr>
              <w:ind w:left="100"/>
              <w:spacing w:after="0" w:line="178" w:lineRule="exact"/>
              <w:rPr>
                <w:sz w:val="20"/>
                <w:szCs w:val="20"/>
                <w:color w:val="auto"/>
              </w:rPr>
            </w:pPr>
            <w:r>
              <w:rPr>
                <w:rFonts w:ascii="Times New Roman" w:cs="Times New Roman" w:eastAsia="Times New Roman" w:hAnsi="Times New Roman"/>
                <w:sz w:val="16"/>
                <w:szCs w:val="16"/>
                <w:color w:val="auto"/>
              </w:rPr>
              <w:t>Total revenue</w:t>
            </w:r>
          </w:p>
        </w:tc>
        <w:tc>
          <w:tcPr>
            <w:tcW w:w="24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41.5</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40.7</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90.4</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82.1</w:t>
            </w:r>
          </w:p>
        </w:tc>
        <w:tc>
          <w:tcPr>
            <w:tcW w:w="0" w:type="dxa"/>
            <w:vAlign w:val="bottom"/>
          </w:tcPr>
          <w:p>
            <w:pPr>
              <w:spacing w:after="0"/>
              <w:rPr>
                <w:sz w:val="1"/>
                <w:szCs w:val="1"/>
                <w:color w:val="auto"/>
              </w:rPr>
            </w:pPr>
          </w:p>
        </w:tc>
      </w:tr>
      <w:tr>
        <w:trPr>
          <w:trHeight w:val="187"/>
        </w:trPr>
        <w:tc>
          <w:tcPr>
            <w:tcW w:w="24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Commission and fees</w:t>
            </w:r>
          </w:p>
        </w:tc>
        <w:tc>
          <w:tcPr>
            <w:tcW w:w="24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1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0" w:type="dxa"/>
            <w:vAlign w:val="bottom"/>
          </w:tcPr>
          <w:p>
            <w:pPr>
              <w:spacing w:after="0"/>
              <w:rPr>
                <w:sz w:val="1"/>
                <w:szCs w:val="1"/>
                <w:color w:val="auto"/>
              </w:rPr>
            </w:pPr>
          </w:p>
        </w:tc>
      </w:tr>
      <w:tr>
        <w:trPr>
          <w:trHeight w:val="178"/>
        </w:trPr>
        <w:tc>
          <w:tcPr>
            <w:tcW w:w="2480" w:type="dxa"/>
            <w:vAlign w:val="bottom"/>
            <w:tcBorders>
              <w:bottom w:val="single" w:sz="8" w:color="CCEEFF"/>
            </w:tcBorders>
            <w:shd w:val="clear" w:color="auto" w:fill="CCEEFF"/>
          </w:tcPr>
          <w:p>
            <w:pPr>
              <w:ind w:left="180"/>
              <w:spacing w:after="0" w:line="178" w:lineRule="exact"/>
              <w:rPr>
                <w:sz w:val="20"/>
                <w:szCs w:val="20"/>
                <w:color w:val="auto"/>
              </w:rPr>
            </w:pPr>
            <w:r>
              <w:rPr>
                <w:rFonts w:ascii="Times New Roman" w:cs="Times New Roman" w:eastAsia="Times New Roman" w:hAnsi="Times New Roman"/>
                <w:sz w:val="16"/>
                <w:szCs w:val="16"/>
                <w:b w:val="1"/>
                <w:bCs w:val="1"/>
                <w:color w:val="auto"/>
              </w:rPr>
              <w:t>Gross Profit</w:t>
            </w:r>
          </w:p>
        </w:tc>
        <w:tc>
          <w:tcPr>
            <w:tcW w:w="24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8.8</w:t>
            </w:r>
          </w:p>
        </w:tc>
        <w:tc>
          <w:tcPr>
            <w:tcW w:w="1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0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7.3</w:t>
            </w:r>
          </w:p>
        </w:tc>
        <w:tc>
          <w:tcPr>
            <w:tcW w:w="2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17.4</w:t>
            </w:r>
          </w:p>
        </w:tc>
        <w:tc>
          <w:tcPr>
            <w:tcW w:w="1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0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2480" w:type="dxa"/>
            <w:vAlign w:val="bottom"/>
            <w:tcBorders>
              <w:bottom w:val="single" w:sz="8" w:color="auto"/>
            </w:tcBorders>
          </w:tcPr>
          <w:p>
            <w:pPr>
              <w:spacing w:after="0"/>
              <w:rPr>
                <w:sz w:val="5"/>
                <w:szCs w:val="5"/>
                <w:color w:val="auto"/>
              </w:rPr>
            </w:pPr>
          </w:p>
        </w:tc>
        <w:tc>
          <w:tcPr>
            <w:tcW w:w="2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both"/>
        <w:ind w:left="285" w:hanging="285"/>
        <w:spacing w:after="0" w:line="249" w:lineRule="auto"/>
        <w:tabs>
          <w:tab w:leader="none" w:pos="285"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EBITDA is a non-GAAP financial measure defined as net income plus interest expense, provision for income taxes, and depreciation and amortization. The Company presents EBITDA because management believes that it can be a useful financial metric in understanding the Company’s earnings from operations. EBITDA is not a measure of the Company’s financial performance under GAAP and should not be considered as an alternative to net income or any other performance measure derived in accordance with GAAP. Below is a reconciliation of net income to EBITDA for the periods presented (in millions):</w:t>
      </w:r>
    </w:p>
    <w:p>
      <w:pPr>
        <w:spacing w:after="0" w:line="172" w:lineRule="exact"/>
        <w:rPr>
          <w:sz w:val="20"/>
          <w:szCs w:val="20"/>
          <w:color w:val="auto"/>
        </w:rPr>
      </w:pPr>
    </w:p>
    <w:tbl>
      <w:tblPr>
        <w:tblLayout w:type="fixed"/>
        <w:tblInd w:w="5" w:type="dxa"/>
        <w:tblCellMar>
          <w:top w:w="0" w:type="dxa"/>
          <w:left w:w="0" w:type="dxa"/>
          <w:bottom w:w="0" w:type="dxa"/>
          <w:right w:w="0" w:type="dxa"/>
        </w:tblCellMar>
      </w:tblPr>
      <w:tr>
        <w:trPr>
          <w:trHeight w:val="150"/>
        </w:trPr>
        <w:tc>
          <w:tcPr>
            <w:tcW w:w="34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EBITDA Reconciliation</w:t>
            </w:r>
          </w:p>
        </w:tc>
        <w:tc>
          <w:tcPr>
            <w:tcW w:w="14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4"/>
          </w:tcPr>
          <w:p>
            <w:pPr>
              <w:jc w:val="right"/>
              <w:ind w:right="164"/>
              <w:spacing w:after="0"/>
              <w:rPr>
                <w:sz w:val="20"/>
                <w:szCs w:val="20"/>
                <w:color w:val="auto"/>
              </w:rPr>
            </w:pPr>
            <w:r>
              <w:rPr>
                <w:rFonts w:ascii="Times New Roman" w:cs="Times New Roman" w:eastAsia="Times New Roman" w:hAnsi="Times New Roman"/>
                <w:sz w:val="12"/>
                <w:szCs w:val="12"/>
                <w:b w:val="1"/>
                <w:bCs w:val="1"/>
                <w:color w:val="auto"/>
              </w:rPr>
              <w:t>For the three months ended June 30,</w:t>
            </w: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5"/>
          </w:tcPr>
          <w:p>
            <w:pPr>
              <w:jc w:val="right"/>
              <w:ind w:right="244"/>
              <w:spacing w:after="0"/>
              <w:rPr>
                <w:sz w:val="20"/>
                <w:szCs w:val="20"/>
                <w:color w:val="auto"/>
              </w:rPr>
            </w:pPr>
            <w:r>
              <w:rPr>
                <w:rFonts w:ascii="Times New Roman" w:cs="Times New Roman" w:eastAsia="Times New Roman" w:hAnsi="Times New Roman"/>
                <w:sz w:val="12"/>
                <w:szCs w:val="12"/>
                <w:b w:val="1"/>
                <w:bCs w:val="1"/>
                <w:color w:val="auto"/>
              </w:rPr>
              <w:t>For the six months ended June 30,</w:t>
            </w:r>
          </w:p>
        </w:tc>
        <w:tc>
          <w:tcPr>
            <w:tcW w:w="0" w:type="dxa"/>
            <w:vAlign w:val="bottom"/>
          </w:tcPr>
          <w:p>
            <w:pPr>
              <w:spacing w:after="0"/>
              <w:rPr>
                <w:sz w:val="1"/>
                <w:szCs w:val="1"/>
                <w:color w:val="auto"/>
              </w:rPr>
            </w:pPr>
          </w:p>
        </w:tc>
      </w:tr>
      <w:tr>
        <w:trPr>
          <w:trHeight w:val="120"/>
        </w:trPr>
        <w:tc>
          <w:tcPr>
            <w:tcW w:w="3460" w:type="dxa"/>
            <w:vAlign w:val="bottom"/>
            <w:tcBorders>
              <w:bottom w:val="single" w:sz="8" w:color="CCEEFF"/>
            </w:tcBorders>
            <w:vMerge w:val="continue"/>
          </w:tcPr>
          <w:p>
            <w:pPr>
              <w:spacing w:after="0"/>
              <w:rPr>
                <w:sz w:val="10"/>
                <w:szCs w:val="10"/>
                <w:color w:val="auto"/>
              </w:rPr>
            </w:pPr>
          </w:p>
        </w:tc>
        <w:tc>
          <w:tcPr>
            <w:tcW w:w="14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366"/>
              <w:spacing w:after="0" w:line="120" w:lineRule="exact"/>
              <w:rPr>
                <w:sz w:val="20"/>
                <w:szCs w:val="20"/>
                <w:color w:val="auto"/>
              </w:rPr>
            </w:pPr>
            <w:r>
              <w:rPr>
                <w:rFonts w:ascii="Times New Roman" w:cs="Times New Roman" w:eastAsia="Times New Roman" w:hAnsi="Times New Roman"/>
                <w:sz w:val="12"/>
                <w:szCs w:val="12"/>
                <w:b w:val="1"/>
                <w:bCs w:val="1"/>
                <w:color w:val="auto"/>
              </w:rPr>
              <w:t>2025</w:t>
            </w:r>
          </w:p>
        </w:tc>
        <w:tc>
          <w:tcPr>
            <w:tcW w:w="1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44"/>
              <w:spacing w:after="0" w:line="120" w:lineRule="exact"/>
              <w:rPr>
                <w:sz w:val="20"/>
                <w:szCs w:val="20"/>
                <w:color w:val="auto"/>
              </w:rPr>
            </w:pPr>
            <w:r>
              <w:rPr>
                <w:rFonts w:ascii="Times New Roman" w:cs="Times New Roman" w:eastAsia="Times New Roman" w:hAnsi="Times New Roman"/>
                <w:sz w:val="12"/>
                <w:szCs w:val="12"/>
                <w:b w:val="1"/>
                <w:bCs w:val="1"/>
                <w:color w:val="auto"/>
              </w:rPr>
              <w:t>2024</w:t>
            </w:r>
          </w:p>
        </w:tc>
        <w:tc>
          <w:tcPr>
            <w:tcW w:w="20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366"/>
              <w:spacing w:after="0" w:line="120" w:lineRule="exact"/>
              <w:rPr>
                <w:sz w:val="20"/>
                <w:szCs w:val="20"/>
                <w:color w:val="auto"/>
              </w:rPr>
            </w:pPr>
            <w:r>
              <w:rPr>
                <w:rFonts w:ascii="Times New Roman" w:cs="Times New Roman" w:eastAsia="Times New Roman" w:hAnsi="Times New Roman"/>
                <w:sz w:val="12"/>
                <w:szCs w:val="12"/>
                <w:b w:val="1"/>
                <w:bCs w:val="1"/>
                <w:color w:val="auto"/>
              </w:rPr>
              <w:t>2025</w:t>
            </w:r>
          </w:p>
        </w:tc>
        <w:tc>
          <w:tcPr>
            <w:tcW w:w="1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44"/>
              <w:spacing w:after="0" w:line="120" w:lineRule="exact"/>
              <w:rPr>
                <w:sz w:val="20"/>
                <w:szCs w:val="20"/>
                <w:color w:val="auto"/>
              </w:rPr>
            </w:pPr>
            <w:r>
              <w:rPr>
                <w:rFonts w:ascii="Times New Roman" w:cs="Times New Roman" w:eastAsia="Times New Roman" w:hAnsi="Times New Roman"/>
                <w:sz w:val="12"/>
                <w:szCs w:val="12"/>
                <w:b w:val="1"/>
                <w:bCs w:val="1"/>
                <w:color w:val="auto"/>
              </w:rPr>
              <w:t>2024</w:t>
            </w:r>
          </w:p>
        </w:tc>
        <w:tc>
          <w:tcPr>
            <w:tcW w:w="0" w:type="dxa"/>
            <w:vAlign w:val="bottom"/>
          </w:tcPr>
          <w:p>
            <w:pPr>
              <w:spacing w:after="0"/>
              <w:rPr>
                <w:sz w:val="1"/>
                <w:szCs w:val="1"/>
                <w:color w:val="auto"/>
              </w:rPr>
            </w:pPr>
          </w:p>
        </w:tc>
      </w:tr>
      <w:tr>
        <w:trPr>
          <w:trHeight w:val="178"/>
        </w:trPr>
        <w:tc>
          <w:tcPr>
            <w:tcW w:w="3460" w:type="dxa"/>
            <w:vAlign w:val="bottom"/>
            <w:shd w:val="clear" w:color="auto" w:fill="CCEEFF"/>
          </w:tcPr>
          <w:p>
            <w:pPr>
              <w:ind w:left="80"/>
              <w:spacing w:after="0" w:line="178" w:lineRule="exact"/>
              <w:rPr>
                <w:sz w:val="20"/>
                <w:szCs w:val="20"/>
                <w:color w:val="auto"/>
              </w:rPr>
            </w:pPr>
            <w:r>
              <w:rPr>
                <w:rFonts w:ascii="Times New Roman" w:cs="Times New Roman" w:eastAsia="Times New Roman" w:hAnsi="Times New Roman"/>
                <w:sz w:val="16"/>
                <w:szCs w:val="16"/>
                <w:color w:val="auto"/>
              </w:rPr>
              <w:t>Net income (loss)</w:t>
            </w:r>
          </w:p>
        </w:tc>
        <w:tc>
          <w:tcPr>
            <w:tcW w:w="148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(0.7)</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(0.7)</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0.4</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187"/>
        </w:trPr>
        <w:tc>
          <w:tcPr>
            <w:tcW w:w="3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Interest expense</w:t>
            </w: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87"/>
        </w:trPr>
        <w:tc>
          <w:tcPr>
            <w:tcW w:w="3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Share-based compensation</w:t>
            </w:r>
          </w:p>
        </w:tc>
        <w:tc>
          <w:tcPr>
            <w:tcW w:w="1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7"/>
        </w:trPr>
        <w:tc>
          <w:tcPr>
            <w:tcW w:w="3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187"/>
        </w:trPr>
        <w:tc>
          <w:tcPr>
            <w:tcW w:w="3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178"/>
        </w:trPr>
        <w:tc>
          <w:tcPr>
            <w:tcW w:w="3460" w:type="dxa"/>
            <w:vAlign w:val="bottom"/>
          </w:tcPr>
          <w:p>
            <w:pPr>
              <w:ind w:left="180"/>
              <w:spacing w:after="0" w:line="178" w:lineRule="exact"/>
              <w:rPr>
                <w:sz w:val="20"/>
                <w:szCs w:val="20"/>
                <w:color w:val="auto"/>
              </w:rPr>
            </w:pPr>
            <w:r>
              <w:rPr>
                <w:rFonts w:ascii="Times New Roman" w:cs="Times New Roman" w:eastAsia="Times New Roman" w:hAnsi="Times New Roman"/>
                <w:sz w:val="16"/>
                <w:szCs w:val="16"/>
                <w:b w:val="1"/>
                <w:bCs w:val="1"/>
                <w:color w:val="auto"/>
              </w:rPr>
              <w:t>EBITDA</w:t>
            </w:r>
          </w:p>
        </w:tc>
        <w:tc>
          <w:tcPr>
            <w:tcW w:w="1480" w:type="dxa"/>
            <w:vAlign w:val="bottom"/>
          </w:tcPr>
          <w:p>
            <w:pPr>
              <w:spacing w:after="0"/>
              <w:rPr>
                <w:sz w:val="15"/>
                <w:szCs w:val="15"/>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1.0</w:t>
            </w:r>
          </w:p>
        </w:tc>
        <w:tc>
          <w:tcPr>
            <w:tcW w:w="180" w:type="dxa"/>
            <w:vAlign w:val="bottom"/>
          </w:tcPr>
          <w:p>
            <w:pPr>
              <w:spacing w:after="0"/>
              <w:rPr>
                <w:sz w:val="15"/>
                <w:szCs w:val="15"/>
                <w:color w:val="auto"/>
              </w:rPr>
            </w:pPr>
          </w:p>
        </w:tc>
        <w:tc>
          <w:tcPr>
            <w:tcW w:w="240" w:type="dxa"/>
            <w:vAlign w:val="bottom"/>
            <w:tcBorders>
              <w:bottom w:val="single" w:sz="8" w:color="auto"/>
            </w:tcBorders>
          </w:tcPr>
          <w:p>
            <w:pPr>
              <w:jc w:val="right"/>
              <w:ind w:right="8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0.6</w:t>
            </w:r>
          </w:p>
        </w:tc>
        <w:tc>
          <w:tcPr>
            <w:tcW w:w="200" w:type="dxa"/>
            <w:vAlign w:val="bottom"/>
          </w:tcPr>
          <w:p>
            <w:pPr>
              <w:spacing w:after="0"/>
              <w:rPr>
                <w:sz w:val="15"/>
                <w:szCs w:val="15"/>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3.2</w:t>
            </w: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Economic Overview and Impact of Financial Market Events</w:t>
      </w:r>
    </w:p>
    <w:p>
      <w:pPr>
        <w:spacing w:after="0" w:line="19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Our business is directly and indirectly sensitive to several macroeconomic factors and the state of the United States financial markets.</w:t>
      </w:r>
    </w:p>
    <w:p>
      <w:pPr>
        <w:spacing w:after="0" w:line="37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308610</wp:posOffset>
            </wp:positionV>
            <wp:extent cx="6306185" cy="14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06185" cy="14605"/>
                    </a:xfrm>
                    <a:prstGeom prst="rect">
                      <a:avLst/>
                    </a:prstGeom>
                    <a:noFill/>
                  </pic:spPr>
                </pic:pic>
              </a:graphicData>
            </a:graphic>
          </wp:anchor>
        </w:drawing>
      </w:r>
    </w:p>
    <w:p>
      <w:pPr>
        <w:sectPr>
          <w:pgSz w:w="11900" w:h="16838" w:orient="portrait"/>
          <w:cols w:equalWidth="0" w:num="1">
            <w:col w:w="9925"/>
          </w:cols>
          <w:pgMar w:left="975" w:top="461"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According to the most recent estimate from the U.S. Bureau of Economic Analysis, the U.S. economy grew by 3.0% in the second quarter of 2025. Although inflation, interest rates and volatile global markets were all headwinds, the U.S. economy added roughly 190,00 jobs in the second quarter of 2025, while the unemployment rate was 4.1% in the second quarter of 2025, which is consistent with the prior quarter. The unemployment rate has remained in a narrow range of 4.0% to 4.2 since May 2024.</w:t>
      </w:r>
    </w:p>
    <w:p>
      <w:pPr>
        <w:spacing w:after="0" w:line="16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Our business is also sensitive to current and expected short-term interest rates, which are largely driven by Fed policy. During the second quarter of 2025, Fed policymakers maintained the target range for the federal funds rate in the 4.25% to 4.5% range. The equity markets increased during the second quarter of 2025 resulting in the S&amp;P 500 increasing 10.3%.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Please consult the Factors Affecting Our Financial Condition and Results of Operations, including those described in the section titled “</w:t>
      </w:r>
      <w:r>
        <w:rPr>
          <w:rFonts w:ascii="Times New Roman" w:cs="Times New Roman" w:eastAsia="Times New Roman" w:hAnsi="Times New Roman"/>
          <w:sz w:val="14"/>
          <w:szCs w:val="14"/>
          <w:b w:val="1"/>
          <w:bCs w:val="1"/>
          <w:i w:val="1"/>
          <w:iCs w:val="1"/>
          <w:color w:val="auto"/>
        </w:rPr>
        <w:t>Risk Factors</w:t>
      </w:r>
      <w:r>
        <w:rPr>
          <w:rFonts w:ascii="Times New Roman" w:cs="Times New Roman" w:eastAsia="Times New Roman" w:hAnsi="Times New Roman"/>
          <w:sz w:val="14"/>
          <w:szCs w:val="14"/>
          <w:b w:val="1"/>
          <w:bCs w:val="1"/>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of Presentation</w:t>
      </w:r>
    </w:p>
    <w:p>
      <w:pPr>
        <w:spacing w:after="0" w:line="1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Our condensed consolidated financial statements have been prepared in accordance with accounting principles generally accepted in the United States of America (“GAAP”). Currently, we conduct business through one operating segment. The condensed consolidated financial statements have been prepared assuming that we will continue as a going concern. See Note 2 in the accompanying condensed consolidated financial statements for further details.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presents an analysis of our results of operations for the three and six-month periods ended June 30, 2025 and 2024 (</w:t>
      </w:r>
      <w:r>
        <w:rPr>
          <w:rFonts w:ascii="Times New Roman" w:cs="Times New Roman" w:eastAsia="Times New Roman" w:hAnsi="Times New Roman"/>
          <w:sz w:val="16"/>
          <w:szCs w:val="16"/>
          <w:i w:val="1"/>
          <w:iCs w:val="1"/>
          <w:color w:val="auto"/>
        </w:rPr>
        <w:t>in thousands</w:t>
      </w:r>
      <w:r>
        <w:rPr>
          <w:rFonts w:ascii="Times New Roman" w:cs="Times New Roman" w:eastAsia="Times New Roman" w:hAnsi="Times New Roman"/>
          <w:sz w:val="16"/>
          <w:szCs w:val="16"/>
          <w:color w:val="auto"/>
        </w:rPr>
        <w: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gridSpan w:val="12"/>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For the three months ended June 30,</w:t>
            </w:r>
          </w:p>
        </w:tc>
        <w:tc>
          <w:tcPr>
            <w:tcW w:w="2760" w:type="dxa"/>
            <w:vAlign w:val="bottom"/>
            <w:gridSpan w:val="9"/>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For the six months ended June 30,</w:t>
            </w:r>
          </w:p>
        </w:tc>
      </w:tr>
      <w:tr>
        <w:trPr>
          <w:trHeight w:val="120"/>
        </w:trPr>
        <w:tc>
          <w:tcPr>
            <w:tcW w:w="40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740" w:type="dxa"/>
            <w:vAlign w:val="bottom"/>
            <w:tcBorders>
              <w:top w:val="single" w:sz="8" w:color="auto"/>
              <w:bottom w:val="single" w:sz="8" w:color="auto"/>
            </w:tcBorders>
          </w:tcPr>
          <w:p>
            <w:pPr>
              <w:jc w:val="right"/>
              <w:ind w:right="105"/>
              <w:spacing w:after="0" w:line="120" w:lineRule="exact"/>
              <w:rPr>
                <w:sz w:val="20"/>
                <w:szCs w:val="20"/>
                <w:color w:val="auto"/>
              </w:rPr>
            </w:pPr>
            <w:r>
              <w:rPr>
                <w:rFonts w:ascii="Times New Roman" w:cs="Times New Roman" w:eastAsia="Times New Roman" w:hAnsi="Times New Roman"/>
                <w:sz w:val="12"/>
                <w:szCs w:val="12"/>
                <w:b w:val="1"/>
                <w:bCs w:val="1"/>
                <w:color w:val="auto"/>
              </w:rPr>
              <w:t>2025</w:t>
            </w:r>
          </w:p>
        </w:tc>
        <w:tc>
          <w:tcPr>
            <w:tcW w:w="140" w:type="dxa"/>
            <w:vAlign w:val="bottom"/>
            <w:tcBorders>
              <w:top w:val="single" w:sz="8" w:color="auto"/>
              <w:bottom w:val="single" w:sz="8" w:color="auto"/>
            </w:tcBorders>
          </w:tcPr>
          <w:p>
            <w:pPr>
              <w:spacing w:after="0"/>
              <w:rPr>
                <w:sz w:val="10"/>
                <w:szCs w:val="10"/>
                <w:color w:val="auto"/>
              </w:rPr>
            </w:pPr>
          </w:p>
        </w:tc>
        <w:tc>
          <w:tcPr>
            <w:tcW w:w="20" w:type="dxa"/>
            <w:vAlign w:val="bottom"/>
            <w:tcBorders>
              <w:top w:val="single" w:sz="8" w:color="auto"/>
              <w:bottom w:val="single" w:sz="8" w:color="CCEEFF"/>
            </w:tcBorders>
          </w:tcPr>
          <w:p>
            <w:pPr>
              <w:spacing w:after="0"/>
              <w:rPr>
                <w:sz w:val="10"/>
                <w:szCs w:val="10"/>
                <w:color w:val="auto"/>
              </w:rPr>
            </w:pPr>
          </w:p>
        </w:tc>
        <w:tc>
          <w:tcPr>
            <w:tcW w:w="120" w:type="dxa"/>
            <w:vAlign w:val="bottom"/>
            <w:tcBorders>
              <w:top w:val="single" w:sz="8" w:color="auto"/>
              <w:bottom w:val="single" w:sz="8" w:color="CCEEFF"/>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84"/>
              <w:spacing w:after="0" w:line="120" w:lineRule="exact"/>
              <w:rPr>
                <w:sz w:val="20"/>
                <w:szCs w:val="20"/>
                <w:color w:val="auto"/>
              </w:rPr>
            </w:pPr>
            <w:r>
              <w:rPr>
                <w:rFonts w:ascii="Times New Roman" w:cs="Times New Roman" w:eastAsia="Times New Roman" w:hAnsi="Times New Roman"/>
                <w:sz w:val="12"/>
                <w:szCs w:val="12"/>
                <w:b w:val="1"/>
                <w:bCs w:val="1"/>
                <w:color w:val="auto"/>
              </w:rPr>
              <w:t>2024</w:t>
            </w:r>
          </w:p>
        </w:tc>
        <w:tc>
          <w:tcPr>
            <w:tcW w:w="140" w:type="dxa"/>
            <w:vAlign w:val="bottom"/>
            <w:tcBorders>
              <w:top w:val="single" w:sz="8" w:color="auto"/>
              <w:bottom w:val="single" w:sz="8" w:color="auto"/>
            </w:tcBorders>
          </w:tcPr>
          <w:p>
            <w:pPr>
              <w:spacing w:after="0"/>
              <w:rPr>
                <w:sz w:val="10"/>
                <w:szCs w:val="10"/>
                <w:color w:val="auto"/>
              </w:rPr>
            </w:pPr>
          </w:p>
        </w:tc>
        <w:tc>
          <w:tcPr>
            <w:tcW w:w="20" w:type="dxa"/>
            <w:vAlign w:val="bottom"/>
            <w:tcBorders>
              <w:top w:val="single" w:sz="8" w:color="auto"/>
              <w:bottom w:val="single" w:sz="8" w:color="CCEEFF"/>
            </w:tcBorders>
          </w:tcPr>
          <w:p>
            <w:pPr>
              <w:spacing w:after="0"/>
              <w:rPr>
                <w:sz w:val="10"/>
                <w:szCs w:val="10"/>
                <w:color w:val="auto"/>
              </w:rPr>
            </w:pPr>
          </w:p>
        </w:tc>
        <w:tc>
          <w:tcPr>
            <w:tcW w:w="140" w:type="dxa"/>
            <w:vAlign w:val="bottom"/>
            <w:tcBorders>
              <w:top w:val="single" w:sz="8" w:color="auto"/>
              <w:bottom w:val="single" w:sz="8" w:color="CCEEFF"/>
            </w:tcBorders>
          </w:tcPr>
          <w:p>
            <w:pPr>
              <w:spacing w:after="0"/>
              <w:rPr>
                <w:sz w:val="10"/>
                <w:szCs w:val="10"/>
                <w:color w:val="auto"/>
              </w:rPr>
            </w:pPr>
          </w:p>
        </w:tc>
        <w:tc>
          <w:tcPr>
            <w:tcW w:w="780" w:type="dxa"/>
            <w:vAlign w:val="bottom"/>
            <w:tcBorders>
              <w:top w:val="single" w:sz="8" w:color="auto"/>
              <w:bottom w:val="single" w:sz="8" w:color="auto"/>
            </w:tcBorders>
            <w:gridSpan w:val="3"/>
          </w:tcPr>
          <w:p>
            <w:pPr>
              <w:ind w:left="100"/>
              <w:spacing w:after="0" w:line="120" w:lineRule="exact"/>
              <w:rPr>
                <w:sz w:val="20"/>
                <w:szCs w:val="20"/>
                <w:color w:val="auto"/>
              </w:rPr>
            </w:pPr>
            <w:r>
              <w:rPr>
                <w:rFonts w:ascii="Times New Roman" w:cs="Times New Roman" w:eastAsia="Times New Roman" w:hAnsi="Times New Roman"/>
                <w:sz w:val="12"/>
                <w:szCs w:val="12"/>
                <w:b w:val="1"/>
                <w:bCs w:val="1"/>
                <w:color w:val="auto"/>
              </w:rPr>
              <w:t>% Change</w:t>
            </w:r>
          </w:p>
        </w:tc>
        <w:tc>
          <w:tcPr>
            <w:tcW w:w="16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ind w:right="105"/>
              <w:spacing w:after="0" w:line="120" w:lineRule="exact"/>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CCEEFF"/>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184"/>
              <w:spacing w:after="0" w:line="120" w:lineRule="exact"/>
              <w:rPr>
                <w:sz w:val="20"/>
                <w:szCs w:val="20"/>
                <w:color w:val="auto"/>
              </w:rPr>
            </w:pPr>
            <w:r>
              <w:rPr>
                <w:rFonts w:ascii="Times New Roman" w:cs="Times New Roman" w:eastAsia="Times New Roman" w:hAnsi="Times New Roman"/>
                <w:sz w:val="12"/>
                <w:szCs w:val="12"/>
                <w:b w:val="1"/>
                <w:bCs w:val="1"/>
                <w:color w:val="auto"/>
              </w:rPr>
              <w:t>2024</w:t>
            </w:r>
          </w:p>
        </w:tc>
        <w:tc>
          <w:tcPr>
            <w:tcW w:w="160" w:type="dxa"/>
            <w:vAlign w:val="bottom"/>
            <w:tcBorders>
              <w:top w:val="single" w:sz="8" w:color="auto"/>
              <w:bottom w:val="single" w:sz="8" w:color="CCEEFF"/>
            </w:tcBorders>
          </w:tcPr>
          <w:p>
            <w:pPr>
              <w:spacing w:after="0"/>
              <w:rPr>
                <w:sz w:val="10"/>
                <w:szCs w:val="10"/>
                <w:color w:val="auto"/>
              </w:rPr>
            </w:pPr>
          </w:p>
        </w:tc>
        <w:tc>
          <w:tcPr>
            <w:tcW w:w="780" w:type="dxa"/>
            <w:vAlign w:val="bottom"/>
            <w:tcBorders>
              <w:top w:val="single" w:sz="8" w:color="auto"/>
              <w:bottom w:val="single" w:sz="8" w:color="auto"/>
            </w:tcBorders>
            <w:gridSpan w:val="2"/>
          </w:tcPr>
          <w:p>
            <w:pPr>
              <w:ind w:left="100"/>
              <w:spacing w:after="0" w:line="120" w:lineRule="exact"/>
              <w:rPr>
                <w:sz w:val="20"/>
                <w:szCs w:val="20"/>
                <w:color w:val="auto"/>
              </w:rPr>
            </w:pPr>
            <w:r>
              <w:rPr>
                <w:rFonts w:ascii="Times New Roman" w:cs="Times New Roman" w:eastAsia="Times New Roman" w:hAnsi="Times New Roman"/>
                <w:sz w:val="12"/>
                <w:szCs w:val="12"/>
                <w:b w:val="1"/>
                <w:bCs w:val="1"/>
                <w:color w:val="auto"/>
              </w:rPr>
              <w:t>% Change</w:t>
            </w:r>
          </w:p>
        </w:tc>
        <w:tc>
          <w:tcPr>
            <w:tcW w:w="140" w:type="dxa"/>
            <w:vAlign w:val="bottom"/>
            <w:tcBorders>
              <w:bottom w:val="single" w:sz="8" w:color="CCEEFF"/>
            </w:tcBorders>
          </w:tcPr>
          <w:p>
            <w:pPr>
              <w:spacing w:after="0"/>
              <w:rPr>
                <w:sz w:val="10"/>
                <w:szCs w:val="10"/>
                <w:color w:val="auto"/>
              </w:rPr>
            </w:pPr>
          </w:p>
        </w:tc>
      </w:tr>
      <w:tr>
        <w:trPr>
          <w:trHeight w:val="178"/>
        </w:trPr>
        <w:tc>
          <w:tcPr>
            <w:tcW w:w="418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Revenues:</w:t>
            </w: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7"/>
        </w:trPr>
        <w:tc>
          <w:tcPr>
            <w:tcW w:w="41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Revenue from Contracts with Customers:</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7"/>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Commissions</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33,998</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33,663</w:t>
            </w:r>
          </w:p>
        </w:tc>
        <w:tc>
          <w:tcPr>
            <w:tcW w:w="110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1.0 %</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75,137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68,057</w:t>
            </w:r>
          </w:p>
        </w:tc>
        <w:tc>
          <w:tcPr>
            <w:tcW w:w="16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10.4 %</w:t>
            </w:r>
          </w:p>
        </w:tc>
      </w:tr>
      <w:tr>
        <w:trPr>
          <w:trHeight w:val="187"/>
        </w:trPr>
        <w:tc>
          <w:tcPr>
            <w:tcW w:w="41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6"/>
                <w:szCs w:val="16"/>
                <w:color w:val="auto"/>
              </w:rPr>
              <w:t>Advisory Fees</w:t>
            </w:r>
          </w:p>
        </w:tc>
        <w:tc>
          <w:tcPr>
            <w:tcW w:w="8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6,627</w:t>
            </w: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6,320</w:t>
            </w:r>
          </w:p>
        </w:tc>
        <w:tc>
          <w:tcPr>
            <w:tcW w:w="1100" w:type="dxa"/>
            <w:vAlign w:val="bottom"/>
            <w:tcBorders>
              <w:bottom w:val="single" w:sz="8" w:color="CCEEFF"/>
            </w:tcBorders>
            <w:gridSpan w:val="6"/>
          </w:tcPr>
          <w:p>
            <w:pPr>
              <w:jc w:val="right"/>
              <w:ind w:right="40"/>
              <w:spacing w:after="0"/>
              <w:rPr>
                <w:sz w:val="20"/>
                <w:szCs w:val="20"/>
                <w:color w:val="auto"/>
              </w:rPr>
            </w:pPr>
            <w:r>
              <w:rPr>
                <w:rFonts w:ascii="Times New Roman" w:cs="Times New Roman" w:eastAsia="Times New Roman" w:hAnsi="Times New Roman"/>
                <w:sz w:val="16"/>
                <w:szCs w:val="16"/>
                <w:color w:val="auto"/>
              </w:rPr>
              <w:t>4.9 %</w:t>
            </w:r>
          </w:p>
        </w:tc>
        <w:tc>
          <w:tcPr>
            <w:tcW w:w="7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13,542</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12,004</w:t>
            </w:r>
          </w:p>
        </w:tc>
        <w:tc>
          <w:tcPr>
            <w:tcW w:w="16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12.8 %</w:t>
            </w:r>
          </w:p>
        </w:tc>
      </w:tr>
      <w:tr>
        <w:trPr>
          <w:trHeight w:val="178"/>
        </w:trPr>
        <w:tc>
          <w:tcPr>
            <w:tcW w:w="418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Total Revenue from Contracts with Customers</w:t>
            </w:r>
          </w:p>
        </w:tc>
        <w:tc>
          <w:tcPr>
            <w:tcW w:w="880" w:type="dxa"/>
            <w:vAlign w:val="bottom"/>
            <w:gridSpan w:val="2"/>
            <w:shd w:val="clear" w:color="auto" w:fill="CCEEFF"/>
          </w:tcPr>
          <w:p>
            <w:pPr>
              <w:jc w:val="right"/>
              <w:ind w:right="60"/>
              <w:spacing w:after="0" w:line="178" w:lineRule="exact"/>
              <w:rPr>
                <w:sz w:val="20"/>
                <w:szCs w:val="20"/>
                <w:color w:val="auto"/>
              </w:rPr>
            </w:pPr>
            <w:r>
              <w:rPr>
                <w:rFonts w:ascii="Times New Roman" w:cs="Times New Roman" w:eastAsia="Times New Roman" w:hAnsi="Times New Roman"/>
                <w:sz w:val="16"/>
                <w:szCs w:val="16"/>
                <w:color w:val="auto"/>
              </w:rPr>
              <w:t>40,625</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line="178" w:lineRule="exact"/>
              <w:rPr>
                <w:sz w:val="20"/>
                <w:szCs w:val="20"/>
                <w:color w:val="auto"/>
              </w:rPr>
            </w:pPr>
            <w:r>
              <w:rPr>
                <w:rFonts w:ascii="Times New Roman" w:cs="Times New Roman" w:eastAsia="Times New Roman" w:hAnsi="Times New Roman"/>
                <w:sz w:val="16"/>
                <w:szCs w:val="16"/>
                <w:color w:val="auto"/>
              </w:rPr>
              <w:t>39,983</w:t>
            </w:r>
          </w:p>
        </w:tc>
        <w:tc>
          <w:tcPr>
            <w:tcW w:w="1100" w:type="dxa"/>
            <w:vAlign w:val="bottom"/>
            <w:gridSpan w:val="6"/>
            <w:shd w:val="clear" w:color="auto" w:fill="CCEEFF"/>
          </w:tcPr>
          <w:p>
            <w:pPr>
              <w:jc w:val="right"/>
              <w:ind w:right="40"/>
              <w:spacing w:after="0" w:line="178" w:lineRule="exact"/>
              <w:rPr>
                <w:sz w:val="20"/>
                <w:szCs w:val="20"/>
                <w:color w:val="auto"/>
              </w:rPr>
            </w:pPr>
            <w:r>
              <w:rPr>
                <w:rFonts w:ascii="Times New Roman" w:cs="Times New Roman" w:eastAsia="Times New Roman" w:hAnsi="Times New Roman"/>
                <w:sz w:val="16"/>
                <w:szCs w:val="16"/>
                <w:color w:val="auto"/>
              </w:rPr>
              <w:t>1.6 %</w:t>
            </w:r>
          </w:p>
        </w:tc>
        <w:tc>
          <w:tcPr>
            <w:tcW w:w="760" w:type="dxa"/>
            <w:vAlign w:val="bottom"/>
            <w:gridSpan w:val="2"/>
            <w:shd w:val="clear" w:color="auto" w:fill="CCEEFF"/>
          </w:tcPr>
          <w:p>
            <w:pPr>
              <w:jc w:val="right"/>
              <w:ind w:right="40"/>
              <w:spacing w:after="0" w:line="178" w:lineRule="exact"/>
              <w:rPr>
                <w:sz w:val="20"/>
                <w:szCs w:val="20"/>
                <w:color w:val="auto"/>
              </w:rPr>
            </w:pPr>
            <w:r>
              <w:rPr>
                <w:rFonts w:ascii="Times New Roman" w:cs="Times New Roman" w:eastAsia="Times New Roman" w:hAnsi="Times New Roman"/>
                <w:sz w:val="16"/>
                <w:szCs w:val="16"/>
                <w:color w:val="auto"/>
              </w:rPr>
              <w:t>88,679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80,061</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7"/>
        </w:trPr>
        <w:tc>
          <w:tcPr>
            <w:tcW w:w="418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6"/>
                <w:szCs w:val="16"/>
                <w:color w:val="auto"/>
              </w:rPr>
              <w:t>Interest and other income</w:t>
            </w:r>
          </w:p>
        </w:tc>
        <w:tc>
          <w:tcPr>
            <w:tcW w:w="8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872</w:t>
            </w: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665</w:t>
            </w:r>
          </w:p>
        </w:tc>
        <w:tc>
          <w:tcPr>
            <w:tcW w:w="1100" w:type="dxa"/>
            <w:vAlign w:val="bottom"/>
            <w:tcBorders>
              <w:bottom w:val="single" w:sz="8" w:color="CCEEFF"/>
            </w:tcBorders>
            <w:gridSpan w:val="6"/>
          </w:tcPr>
          <w:p>
            <w:pPr>
              <w:jc w:val="right"/>
              <w:ind w:right="40"/>
              <w:spacing w:after="0"/>
              <w:rPr>
                <w:sz w:val="20"/>
                <w:szCs w:val="20"/>
                <w:color w:val="auto"/>
              </w:rPr>
            </w:pPr>
            <w:r>
              <w:rPr>
                <w:rFonts w:ascii="Times New Roman" w:cs="Times New Roman" w:eastAsia="Times New Roman" w:hAnsi="Times New Roman"/>
                <w:sz w:val="16"/>
                <w:szCs w:val="16"/>
                <w:color w:val="auto"/>
              </w:rPr>
              <w:t>31.3 %</w:t>
            </w:r>
          </w:p>
        </w:tc>
        <w:tc>
          <w:tcPr>
            <w:tcW w:w="7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1,752</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2,034</w:t>
            </w:r>
          </w:p>
        </w:tc>
        <w:tc>
          <w:tcPr>
            <w:tcW w:w="16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(13.9)%</w:t>
            </w:r>
          </w:p>
        </w:tc>
      </w:tr>
      <w:tr>
        <w:trPr>
          <w:trHeight w:val="178"/>
        </w:trPr>
        <w:tc>
          <w:tcPr>
            <w:tcW w:w="4180" w:type="dxa"/>
            <w:vAlign w:val="bottom"/>
            <w:gridSpan w:val="2"/>
            <w:shd w:val="clear" w:color="auto" w:fill="CCEEFF"/>
          </w:tcPr>
          <w:p>
            <w:pPr>
              <w:ind w:left="280"/>
              <w:spacing w:after="0" w:line="178" w:lineRule="exact"/>
              <w:rPr>
                <w:sz w:val="20"/>
                <w:szCs w:val="20"/>
                <w:color w:val="auto"/>
              </w:rPr>
            </w:pPr>
            <w:r>
              <w:rPr>
                <w:rFonts w:ascii="Times New Roman" w:cs="Times New Roman" w:eastAsia="Times New Roman" w:hAnsi="Times New Roman"/>
                <w:sz w:val="16"/>
                <w:szCs w:val="16"/>
                <w:color w:val="auto"/>
              </w:rPr>
              <w:t>Total revenues</w:t>
            </w:r>
          </w:p>
        </w:tc>
        <w:tc>
          <w:tcPr>
            <w:tcW w:w="880" w:type="dxa"/>
            <w:vAlign w:val="bottom"/>
            <w:tcBorders>
              <w:bottom w:val="single" w:sz="8" w:color="auto"/>
            </w:tcBorders>
            <w:gridSpan w:val="2"/>
            <w:shd w:val="clear" w:color="auto" w:fill="CCEEFF"/>
          </w:tcPr>
          <w:p>
            <w:pPr>
              <w:jc w:val="right"/>
              <w:ind w:right="60"/>
              <w:spacing w:after="0" w:line="178" w:lineRule="exact"/>
              <w:rPr>
                <w:sz w:val="20"/>
                <w:szCs w:val="20"/>
                <w:color w:val="auto"/>
              </w:rPr>
            </w:pPr>
            <w:r>
              <w:rPr>
                <w:rFonts w:ascii="Times New Roman" w:cs="Times New Roman" w:eastAsia="Times New Roman" w:hAnsi="Times New Roman"/>
                <w:sz w:val="16"/>
                <w:szCs w:val="16"/>
                <w:color w:val="auto"/>
              </w:rPr>
              <w:t>41,497</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tcBorders>
              <w:bottom w:val="single" w:sz="8" w:color="auto"/>
            </w:tcBorders>
            <w:gridSpan w:val="2"/>
            <w:shd w:val="clear" w:color="auto" w:fill="CCEEFF"/>
          </w:tcPr>
          <w:p>
            <w:pPr>
              <w:jc w:val="right"/>
              <w:ind w:right="40"/>
              <w:spacing w:after="0" w:line="178" w:lineRule="exact"/>
              <w:rPr>
                <w:sz w:val="20"/>
                <w:szCs w:val="20"/>
                <w:color w:val="auto"/>
              </w:rPr>
            </w:pPr>
            <w:r>
              <w:rPr>
                <w:rFonts w:ascii="Times New Roman" w:cs="Times New Roman" w:eastAsia="Times New Roman" w:hAnsi="Times New Roman"/>
                <w:sz w:val="16"/>
                <w:szCs w:val="16"/>
                <w:color w:val="auto"/>
              </w:rPr>
              <w:t>40,648</w:t>
            </w:r>
          </w:p>
        </w:tc>
        <w:tc>
          <w:tcPr>
            <w:tcW w:w="1100" w:type="dxa"/>
            <w:vAlign w:val="bottom"/>
            <w:gridSpan w:val="6"/>
            <w:shd w:val="clear" w:color="auto" w:fill="CCEEFF"/>
          </w:tcPr>
          <w:p>
            <w:pPr>
              <w:jc w:val="right"/>
              <w:ind w:right="40"/>
              <w:spacing w:after="0" w:line="178" w:lineRule="exact"/>
              <w:rPr>
                <w:sz w:val="20"/>
                <w:szCs w:val="20"/>
                <w:color w:val="auto"/>
              </w:rPr>
            </w:pPr>
            <w:r>
              <w:rPr>
                <w:rFonts w:ascii="Times New Roman" w:cs="Times New Roman" w:eastAsia="Times New Roman" w:hAnsi="Times New Roman"/>
                <w:sz w:val="16"/>
                <w:szCs w:val="16"/>
                <w:color w:val="auto"/>
              </w:rPr>
              <w:t>2.1 %</w:t>
            </w:r>
          </w:p>
        </w:tc>
        <w:tc>
          <w:tcPr>
            <w:tcW w:w="760" w:type="dxa"/>
            <w:vAlign w:val="bottom"/>
            <w:tcBorders>
              <w:bottom w:val="single" w:sz="8" w:color="auto"/>
            </w:tcBorders>
            <w:gridSpan w:val="2"/>
            <w:shd w:val="clear" w:color="auto" w:fill="CCEEFF"/>
          </w:tcPr>
          <w:p>
            <w:pPr>
              <w:jc w:val="right"/>
              <w:ind w:right="40"/>
              <w:spacing w:after="0" w:line="178" w:lineRule="exact"/>
              <w:rPr>
                <w:sz w:val="20"/>
                <w:szCs w:val="20"/>
                <w:color w:val="auto"/>
              </w:rPr>
            </w:pPr>
            <w:r>
              <w:rPr>
                <w:rFonts w:ascii="Times New Roman" w:cs="Times New Roman" w:eastAsia="Times New Roman" w:hAnsi="Times New Roman"/>
                <w:sz w:val="16"/>
                <w:szCs w:val="16"/>
                <w:color w:val="auto"/>
              </w:rPr>
              <w:t>90,431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82,095</w:t>
            </w:r>
          </w:p>
        </w:tc>
        <w:tc>
          <w:tcPr>
            <w:tcW w:w="16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ind w:right="20"/>
              <w:spacing w:after="0" w:line="178" w:lineRule="exact"/>
              <w:rPr>
                <w:sz w:val="20"/>
                <w:szCs w:val="20"/>
                <w:color w:val="auto"/>
              </w:rPr>
            </w:pPr>
            <w:r>
              <w:rPr>
                <w:rFonts w:ascii="Times New Roman" w:cs="Times New Roman" w:eastAsia="Times New Roman" w:hAnsi="Times New Roman"/>
                <w:sz w:val="16"/>
                <w:szCs w:val="16"/>
                <w:color w:val="auto"/>
              </w:rPr>
              <w:t>10.2 %</w:t>
            </w:r>
          </w:p>
        </w:tc>
      </w:tr>
      <w:tr>
        <w:trPr>
          <w:trHeight w:val="318"/>
        </w:trPr>
        <w:tc>
          <w:tcPr>
            <w:tcW w:w="4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gridSpan w:val="12"/>
          </w:tcPr>
          <w:p>
            <w:pPr>
              <w:jc w:val="right"/>
              <w:ind w:right="740"/>
              <w:spacing w:after="0"/>
              <w:rPr>
                <w:sz w:val="20"/>
                <w:szCs w:val="20"/>
                <w:color w:val="auto"/>
              </w:rPr>
            </w:pPr>
            <w:r>
              <w:rPr>
                <w:rFonts w:ascii="Times New Roman" w:cs="Times New Roman" w:eastAsia="Times New Roman" w:hAnsi="Times New Roman"/>
                <w:sz w:val="12"/>
                <w:szCs w:val="12"/>
                <w:b w:val="1"/>
                <w:bCs w:val="1"/>
                <w:color w:val="auto"/>
              </w:rPr>
              <w:t>For the three months ended June 30,</w:t>
            </w:r>
          </w:p>
        </w:tc>
        <w:tc>
          <w:tcPr>
            <w:tcW w:w="2760" w:type="dxa"/>
            <w:vAlign w:val="bottom"/>
            <w:gridSpan w:val="9"/>
          </w:tcPr>
          <w:p>
            <w:pPr>
              <w:jc w:val="right"/>
              <w:ind w:right="720"/>
              <w:spacing w:after="0"/>
              <w:rPr>
                <w:sz w:val="20"/>
                <w:szCs w:val="20"/>
                <w:color w:val="auto"/>
              </w:rPr>
            </w:pPr>
            <w:r>
              <w:rPr>
                <w:rFonts w:ascii="Times New Roman" w:cs="Times New Roman" w:eastAsia="Times New Roman" w:hAnsi="Times New Roman"/>
                <w:sz w:val="12"/>
                <w:szCs w:val="12"/>
                <w:b w:val="1"/>
                <w:bCs w:val="1"/>
                <w:color w:val="auto"/>
              </w:rPr>
              <w:t>For the periods ended June 30,</w:t>
            </w:r>
          </w:p>
        </w:tc>
      </w:tr>
      <w:tr>
        <w:trPr>
          <w:trHeight w:val="120"/>
        </w:trPr>
        <w:tc>
          <w:tcPr>
            <w:tcW w:w="408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jc w:val="right"/>
              <w:ind w:right="225"/>
              <w:spacing w:after="0" w:line="120" w:lineRule="exact"/>
              <w:rPr>
                <w:sz w:val="20"/>
                <w:szCs w:val="20"/>
                <w:color w:val="auto"/>
              </w:rPr>
            </w:pPr>
            <w:r>
              <w:rPr>
                <w:rFonts w:ascii="Times New Roman" w:cs="Times New Roman" w:eastAsia="Times New Roman" w:hAnsi="Times New Roman"/>
                <w:sz w:val="12"/>
                <w:szCs w:val="12"/>
                <w:b w:val="1"/>
                <w:bCs w:val="1"/>
                <w:color w:val="auto"/>
              </w:rPr>
              <w:t>2025</w:t>
            </w:r>
          </w:p>
        </w:tc>
        <w:tc>
          <w:tcPr>
            <w:tcW w:w="140" w:type="dxa"/>
            <w:vAlign w:val="bottom"/>
            <w:tcBorders>
              <w:top w:val="single" w:sz="8" w:color="auto"/>
              <w:bottom w:val="single" w:sz="8" w:color="CCEEFF"/>
            </w:tcBorders>
          </w:tcPr>
          <w:p>
            <w:pPr>
              <w:spacing w:after="0"/>
              <w:rPr>
                <w:sz w:val="10"/>
                <w:szCs w:val="10"/>
                <w:color w:val="auto"/>
              </w:rPr>
            </w:pPr>
          </w:p>
        </w:tc>
        <w:tc>
          <w:tcPr>
            <w:tcW w:w="20" w:type="dxa"/>
            <w:vAlign w:val="bottom"/>
            <w:tcBorders>
              <w:top w:val="single" w:sz="8" w:color="auto"/>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224"/>
              <w:spacing w:after="0" w:line="120" w:lineRule="exact"/>
              <w:rPr>
                <w:sz w:val="20"/>
                <w:szCs w:val="20"/>
                <w:color w:val="auto"/>
              </w:rPr>
            </w:pPr>
            <w:r>
              <w:rPr>
                <w:rFonts w:ascii="Times New Roman" w:cs="Times New Roman" w:eastAsia="Times New Roman" w:hAnsi="Times New Roman"/>
                <w:sz w:val="12"/>
                <w:szCs w:val="12"/>
                <w:b w:val="1"/>
                <w:bCs w:val="1"/>
                <w:color w:val="auto"/>
              </w:rPr>
              <w:t>2024</w:t>
            </w:r>
          </w:p>
        </w:tc>
        <w:tc>
          <w:tcPr>
            <w:tcW w:w="140" w:type="dxa"/>
            <w:vAlign w:val="bottom"/>
            <w:tcBorders>
              <w:top w:val="single" w:sz="8" w:color="auto"/>
              <w:bottom w:val="single" w:sz="8" w:color="CCEEFF"/>
            </w:tcBorders>
          </w:tcPr>
          <w:p>
            <w:pPr>
              <w:spacing w:after="0"/>
              <w:rPr>
                <w:sz w:val="10"/>
                <w:szCs w:val="10"/>
                <w:color w:val="auto"/>
              </w:rPr>
            </w:pPr>
          </w:p>
        </w:tc>
        <w:tc>
          <w:tcPr>
            <w:tcW w:w="20" w:type="dxa"/>
            <w:vAlign w:val="bottom"/>
            <w:tcBorders>
              <w:top w:val="single" w:sz="8" w:color="auto"/>
              <w:bottom w:val="single" w:sz="8" w:color="CCEEFF"/>
            </w:tcBorders>
          </w:tcPr>
          <w:p>
            <w:pPr>
              <w:spacing w:after="0"/>
              <w:rPr>
                <w:sz w:val="10"/>
                <w:szCs w:val="10"/>
                <w:color w:val="auto"/>
              </w:rPr>
            </w:pPr>
          </w:p>
        </w:tc>
        <w:tc>
          <w:tcPr>
            <w:tcW w:w="760" w:type="dxa"/>
            <w:vAlign w:val="bottom"/>
            <w:tcBorders>
              <w:top w:val="single" w:sz="8" w:color="auto"/>
              <w:bottom w:val="single" w:sz="8" w:color="auto"/>
            </w:tcBorders>
            <w:gridSpan w:val="2"/>
          </w:tcPr>
          <w:p>
            <w:pPr>
              <w:jc w:val="right"/>
              <w:ind w:right="38"/>
              <w:spacing w:after="0" w:line="120" w:lineRule="exact"/>
              <w:rPr>
                <w:sz w:val="20"/>
                <w:szCs w:val="20"/>
                <w:color w:val="auto"/>
              </w:rPr>
            </w:pPr>
            <w:r>
              <w:rPr>
                <w:rFonts w:ascii="Times New Roman" w:cs="Times New Roman" w:eastAsia="Times New Roman" w:hAnsi="Times New Roman"/>
                <w:sz w:val="12"/>
                <w:szCs w:val="12"/>
                <w:b w:val="1"/>
                <w:bCs w:val="1"/>
                <w:color w:val="auto"/>
              </w:rPr>
              <w:t>% Change</w:t>
            </w:r>
          </w:p>
        </w:tc>
        <w:tc>
          <w:tcPr>
            <w:tcW w:w="140" w:type="dxa"/>
            <w:vAlign w:val="bottom"/>
            <w:tcBorders>
              <w:bottom w:val="single" w:sz="8" w:color="CCEEFF"/>
            </w:tcBorders>
          </w:tcPr>
          <w:p>
            <w:pPr>
              <w:spacing w:after="0"/>
              <w:rPr>
                <w:sz w:val="10"/>
                <w:szCs w:val="10"/>
                <w:color w:val="auto"/>
              </w:rPr>
            </w:pPr>
          </w:p>
        </w:tc>
        <w:tc>
          <w:tcPr>
            <w:tcW w:w="180" w:type="dxa"/>
            <w:vAlign w:val="bottom"/>
            <w:tcBorders>
              <w:top w:val="single" w:sz="8" w:color="auto"/>
              <w:bottom w:val="single" w:sz="8" w:color="auto"/>
            </w:tcBorders>
            <w:gridSpan w:val="2"/>
          </w:tcPr>
          <w:p>
            <w:pPr>
              <w:spacing w:after="0"/>
              <w:rPr>
                <w:sz w:val="10"/>
                <w:szCs w:val="10"/>
                <w:color w:val="auto"/>
              </w:rPr>
            </w:pPr>
          </w:p>
        </w:tc>
        <w:tc>
          <w:tcPr>
            <w:tcW w:w="680" w:type="dxa"/>
            <w:vAlign w:val="bottom"/>
            <w:tcBorders>
              <w:top w:val="single" w:sz="8" w:color="auto"/>
              <w:bottom w:val="single" w:sz="8" w:color="auto"/>
            </w:tcBorders>
          </w:tcPr>
          <w:p>
            <w:pPr>
              <w:jc w:val="right"/>
              <w:ind w:right="225"/>
              <w:spacing w:after="0" w:line="120" w:lineRule="exact"/>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24"/>
              <w:spacing w:after="0" w:line="120" w:lineRule="exact"/>
              <w:rPr>
                <w:sz w:val="20"/>
                <w:szCs w:val="20"/>
                <w:color w:val="auto"/>
              </w:rPr>
            </w:pPr>
            <w:r>
              <w:rPr>
                <w:rFonts w:ascii="Times New Roman" w:cs="Times New Roman" w:eastAsia="Times New Roman" w:hAnsi="Times New Roman"/>
                <w:sz w:val="12"/>
                <w:szCs w:val="12"/>
                <w:b w:val="1"/>
                <w:bCs w:val="1"/>
                <w:color w:val="auto"/>
              </w:rPr>
              <w:t>2024</w:t>
            </w:r>
          </w:p>
        </w:tc>
        <w:tc>
          <w:tcPr>
            <w:tcW w:w="160" w:type="dxa"/>
            <w:vAlign w:val="bottom"/>
            <w:tcBorders>
              <w:top w:val="single" w:sz="8" w:color="auto"/>
              <w:bottom w:val="single" w:sz="8" w:color="CCEEFF"/>
            </w:tcBorders>
          </w:tcPr>
          <w:p>
            <w:pPr>
              <w:spacing w:after="0"/>
              <w:rPr>
                <w:sz w:val="10"/>
                <w:szCs w:val="10"/>
                <w:color w:val="auto"/>
              </w:rPr>
            </w:pPr>
          </w:p>
        </w:tc>
        <w:tc>
          <w:tcPr>
            <w:tcW w:w="760" w:type="dxa"/>
            <w:vAlign w:val="bottom"/>
            <w:tcBorders>
              <w:top w:val="single" w:sz="8" w:color="auto"/>
              <w:bottom w:val="single" w:sz="8" w:color="auto"/>
            </w:tcBorders>
          </w:tcPr>
          <w:p>
            <w:pPr>
              <w:ind w:left="100"/>
              <w:spacing w:after="0" w:line="120" w:lineRule="exact"/>
              <w:rPr>
                <w:sz w:val="20"/>
                <w:szCs w:val="20"/>
                <w:color w:val="auto"/>
              </w:rPr>
            </w:pPr>
            <w:r>
              <w:rPr>
                <w:rFonts w:ascii="Times New Roman" w:cs="Times New Roman" w:eastAsia="Times New Roman" w:hAnsi="Times New Roman"/>
                <w:sz w:val="12"/>
                <w:szCs w:val="12"/>
                <w:b w:val="1"/>
                <w:bCs w:val="1"/>
                <w:color w:val="auto"/>
              </w:rPr>
              <w:t>% Change</w:t>
            </w:r>
          </w:p>
        </w:tc>
        <w:tc>
          <w:tcPr>
            <w:tcW w:w="160" w:type="dxa"/>
            <w:vAlign w:val="bottom"/>
            <w:tcBorders>
              <w:bottom w:val="single" w:sz="8" w:color="CCEEFF"/>
            </w:tcBorders>
            <w:gridSpan w:val="2"/>
          </w:tcPr>
          <w:p>
            <w:pPr>
              <w:spacing w:after="0"/>
              <w:rPr>
                <w:sz w:val="10"/>
                <w:szCs w:val="10"/>
                <w:color w:val="auto"/>
              </w:rPr>
            </w:pPr>
          </w:p>
        </w:tc>
      </w:tr>
      <w:tr>
        <w:trPr>
          <w:trHeight w:val="178"/>
        </w:trPr>
        <w:tc>
          <w:tcPr>
            <w:tcW w:w="408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Expenses:</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7"/>
        </w:trPr>
        <w:tc>
          <w:tcPr>
            <w:tcW w:w="4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Commissions and fees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32,740</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33,352</w:t>
            </w:r>
          </w:p>
        </w:tc>
        <w:tc>
          <w:tcPr>
            <w:tcW w:w="140" w:type="dxa"/>
            <w:vAlign w:val="bottom"/>
          </w:tcPr>
          <w:p>
            <w:pPr>
              <w:spacing w:after="0"/>
              <w:rPr>
                <w:sz w:val="16"/>
                <w:szCs w:val="16"/>
                <w:color w:val="auto"/>
              </w:rPr>
            </w:pP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(1.8)%</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73,038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67,007</w:t>
            </w:r>
          </w:p>
        </w:tc>
        <w:tc>
          <w:tcPr>
            <w:tcW w:w="160" w:type="dxa"/>
            <w:vAlign w:val="bottom"/>
          </w:tcPr>
          <w:p>
            <w:pPr>
              <w:spacing w:after="0"/>
              <w:rPr>
                <w:sz w:val="16"/>
                <w:szCs w:val="16"/>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9.0 %</w:t>
            </w:r>
          </w:p>
        </w:tc>
      </w:tr>
      <w:tr>
        <w:trPr>
          <w:trHeight w:val="187"/>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Employee compensation and benefits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4,926</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3,594</w:t>
            </w:r>
          </w:p>
        </w:tc>
        <w:tc>
          <w:tcPr>
            <w:tcW w:w="140" w:type="dxa"/>
            <w:vAlign w:val="bottom"/>
            <w:shd w:val="clear" w:color="auto" w:fill="CCEEFF"/>
          </w:tcPr>
          <w:p>
            <w:pPr>
              <w:spacing w:after="0"/>
              <w:rPr>
                <w:sz w:val="16"/>
                <w:szCs w:val="16"/>
                <w:color w:val="auto"/>
              </w:rPr>
            </w:pPr>
          </w:p>
        </w:tc>
        <w:tc>
          <w:tcPr>
            <w:tcW w:w="9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37.1 %</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7,051</w:t>
            </w:r>
          </w:p>
        </w:tc>
        <w:tc>
          <w:tcPr>
            <w:tcW w:w="16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31.6 %</w:t>
            </w:r>
          </w:p>
        </w:tc>
      </w:tr>
      <w:tr>
        <w:trPr>
          <w:trHeight w:val="187"/>
        </w:trPr>
        <w:tc>
          <w:tcPr>
            <w:tcW w:w="4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Rent and occupancy</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40" w:type="dxa"/>
            <w:vAlign w:val="bottom"/>
          </w:tcPr>
          <w:p>
            <w:pPr>
              <w:spacing w:after="0"/>
              <w:rPr>
                <w:sz w:val="16"/>
                <w:szCs w:val="16"/>
                <w:color w:val="auto"/>
              </w:rPr>
            </w:pP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60" w:type="dxa"/>
            <w:vAlign w:val="bottom"/>
          </w:tcPr>
          <w:p>
            <w:pPr>
              <w:spacing w:after="0"/>
              <w:rPr>
                <w:sz w:val="16"/>
                <w:szCs w:val="16"/>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(2.4)%</w:t>
            </w:r>
          </w:p>
        </w:tc>
      </w:tr>
      <w:tr>
        <w:trPr>
          <w:trHeight w:val="187"/>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Professional fees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40" w:type="dxa"/>
            <w:vAlign w:val="bottom"/>
            <w:shd w:val="clear" w:color="auto" w:fill="CCEEFF"/>
          </w:tcPr>
          <w:p>
            <w:pPr>
              <w:spacing w:after="0"/>
              <w:rPr>
                <w:sz w:val="16"/>
                <w:szCs w:val="16"/>
                <w:color w:val="auto"/>
              </w:rPr>
            </w:pPr>
          </w:p>
        </w:tc>
        <w:tc>
          <w:tcPr>
            <w:tcW w:w="9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18.4 %</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4,939</w:t>
            </w:r>
          </w:p>
        </w:tc>
        <w:tc>
          <w:tcPr>
            <w:tcW w:w="16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(74.7)%</w:t>
            </w:r>
          </w:p>
        </w:tc>
      </w:tr>
      <w:tr>
        <w:trPr>
          <w:trHeight w:val="187"/>
        </w:trPr>
        <w:tc>
          <w:tcPr>
            <w:tcW w:w="4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Technology fees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40" w:type="dxa"/>
            <w:vAlign w:val="bottom"/>
          </w:tcPr>
          <w:p>
            <w:pPr>
              <w:spacing w:after="0"/>
              <w:rPr>
                <w:sz w:val="16"/>
                <w:szCs w:val="16"/>
                <w:color w:val="auto"/>
              </w:rPr>
            </w:pP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43.8 %</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160" w:type="dxa"/>
            <w:vAlign w:val="bottom"/>
          </w:tcPr>
          <w:p>
            <w:pPr>
              <w:spacing w:after="0"/>
              <w:rPr>
                <w:sz w:val="16"/>
                <w:szCs w:val="16"/>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71.4 %</w:t>
            </w:r>
          </w:p>
        </w:tc>
      </w:tr>
      <w:tr>
        <w:trPr>
          <w:trHeight w:val="187"/>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40" w:type="dxa"/>
            <w:vAlign w:val="bottom"/>
            <w:shd w:val="clear" w:color="auto" w:fill="CCEEFF"/>
          </w:tcPr>
          <w:p>
            <w:pPr>
              <w:spacing w:after="0"/>
              <w:rPr>
                <w:sz w:val="16"/>
                <w:szCs w:val="16"/>
                <w:color w:val="auto"/>
              </w:rPr>
            </w:pPr>
          </w:p>
        </w:tc>
        <w:tc>
          <w:tcPr>
            <w:tcW w:w="9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(31.6)%</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1,857</w:t>
            </w:r>
          </w:p>
        </w:tc>
        <w:tc>
          <w:tcPr>
            <w:tcW w:w="16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(40.3)%</w:t>
            </w:r>
          </w:p>
        </w:tc>
      </w:tr>
      <w:tr>
        <w:trPr>
          <w:trHeight w:val="187"/>
        </w:trPr>
        <w:tc>
          <w:tcPr>
            <w:tcW w:w="4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40" w:type="dxa"/>
            <w:vAlign w:val="bottom"/>
          </w:tcPr>
          <w:p>
            <w:pPr>
              <w:spacing w:after="0"/>
              <w:rPr>
                <w:sz w:val="16"/>
                <w:szCs w:val="16"/>
                <w:color w:val="auto"/>
              </w:rPr>
            </w:pP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(37.4)%</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60" w:type="dxa"/>
            <w:vAlign w:val="bottom"/>
          </w:tcPr>
          <w:p>
            <w:pPr>
              <w:spacing w:after="0"/>
              <w:rPr>
                <w:sz w:val="16"/>
                <w:szCs w:val="16"/>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(37.7)%</w:t>
            </w:r>
          </w:p>
        </w:tc>
      </w:tr>
      <w:tr>
        <w:trPr>
          <w:trHeight w:val="187"/>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w:t>
            </w:r>
          </w:p>
        </w:tc>
        <w:tc>
          <w:tcPr>
            <w:tcW w:w="140" w:type="dxa"/>
            <w:vAlign w:val="bottom"/>
            <w:shd w:val="clear" w:color="auto" w:fill="CCEEFF"/>
          </w:tcPr>
          <w:p>
            <w:pPr>
              <w:spacing w:after="0"/>
              <w:rPr>
                <w:sz w:val="16"/>
                <w:szCs w:val="16"/>
                <w:color w:val="auto"/>
              </w:rPr>
            </w:pPr>
          </w:p>
        </w:tc>
        <w:tc>
          <w:tcPr>
            <w:tcW w:w="9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(12.0)%</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16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108.8 %</w:t>
            </w:r>
          </w:p>
        </w:tc>
      </w:tr>
      <w:tr>
        <w:trPr>
          <w:trHeight w:val="178"/>
        </w:trPr>
        <w:tc>
          <w:tcPr>
            <w:tcW w:w="40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7"/>
        </w:trPr>
        <w:tc>
          <w:tcPr>
            <w:tcW w:w="4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expenses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42,058</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41,171</w:t>
            </w:r>
          </w:p>
        </w:tc>
        <w:tc>
          <w:tcPr>
            <w:tcW w:w="140" w:type="dxa"/>
            <w:vAlign w:val="bottom"/>
            <w:shd w:val="clear" w:color="auto" w:fill="CCEEFF"/>
          </w:tcPr>
          <w:p>
            <w:pPr>
              <w:spacing w:after="0"/>
              <w:rPr>
                <w:sz w:val="16"/>
                <w:szCs w:val="16"/>
                <w:color w:val="auto"/>
              </w:rPr>
            </w:pPr>
          </w:p>
        </w:tc>
        <w:tc>
          <w:tcPr>
            <w:tcW w:w="9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(0.5)%</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89,536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84,062</w:t>
            </w:r>
          </w:p>
        </w:tc>
        <w:tc>
          <w:tcPr>
            <w:tcW w:w="16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5.2 %</w:t>
            </w:r>
          </w:p>
        </w:tc>
      </w:tr>
      <w:tr>
        <w:trPr>
          <w:trHeight w:val="178"/>
        </w:trPr>
        <w:tc>
          <w:tcPr>
            <w:tcW w:w="40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7"/>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before provision for income taxes</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(561)</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(523)</w:t>
            </w:r>
          </w:p>
        </w:tc>
        <w:tc>
          <w:tcPr>
            <w:tcW w:w="9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25.7 %</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(1,967)</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154.1 %</w:t>
            </w:r>
          </w:p>
        </w:tc>
      </w:tr>
      <w:tr>
        <w:trPr>
          <w:trHeight w:val="187"/>
        </w:trPr>
        <w:tc>
          <w:tcPr>
            <w:tcW w:w="4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gridSpan w:val="2"/>
          </w:tcPr>
          <w:p>
            <w:pPr>
              <w:spacing w:after="0"/>
              <w:rPr>
                <w:sz w:val="16"/>
                <w:szCs w:val="16"/>
                <w:color w:val="auto"/>
              </w:rPr>
            </w:pPr>
          </w:p>
        </w:tc>
      </w:tr>
      <w:tr>
        <w:trPr>
          <w:trHeight w:val="187"/>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40" w:type="dxa"/>
            <w:vAlign w:val="bottom"/>
            <w:shd w:val="clear" w:color="auto" w:fill="CCEEFF"/>
          </w:tcPr>
          <w:p>
            <w:pPr>
              <w:spacing w:after="0"/>
              <w:rPr>
                <w:sz w:val="16"/>
                <w:szCs w:val="16"/>
                <w:color w:val="auto"/>
              </w:rPr>
            </w:pPr>
          </w:p>
        </w:tc>
        <w:tc>
          <w:tcPr>
            <w:tcW w:w="9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(43.0)%</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6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54.4 %</w:t>
            </w:r>
          </w:p>
        </w:tc>
      </w:tr>
      <w:tr>
        <w:trPr>
          <w:trHeight w:val="187"/>
        </w:trPr>
        <w:tc>
          <w:tcPr>
            <w:tcW w:w="4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gridSpan w:val="2"/>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gridSpan w:val="2"/>
          </w:tcPr>
          <w:p>
            <w:pPr>
              <w:spacing w:after="0"/>
              <w:rPr>
                <w:sz w:val="16"/>
                <w:szCs w:val="16"/>
                <w:color w:val="auto"/>
              </w:rPr>
            </w:pPr>
          </w:p>
        </w:tc>
      </w:tr>
      <w:tr>
        <w:trPr>
          <w:trHeight w:val="178"/>
        </w:trPr>
        <w:tc>
          <w:tcPr>
            <w:tcW w:w="4080" w:type="dxa"/>
            <w:vAlign w:val="bottom"/>
            <w:tcBorders>
              <w:top w:val="single" w:sz="8" w:color="CCEEFF"/>
              <w:bottom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Net income (loss)</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(654)</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(736)</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CCEEFF"/>
              <w:bottom w:val="single" w:sz="8" w:color="CCEEFF"/>
            </w:tcBorders>
            <w:gridSpan w:val="4"/>
            <w:shd w:val="clear" w:color="auto" w:fill="CCEEFF"/>
          </w:tcPr>
          <w:p>
            <w:pPr>
              <w:jc w:val="right"/>
              <w:ind w:right="20"/>
              <w:spacing w:after="0" w:line="178" w:lineRule="exact"/>
              <w:rPr>
                <w:sz w:val="20"/>
                <w:szCs w:val="20"/>
                <w:color w:val="auto"/>
              </w:rPr>
            </w:pPr>
            <w:r>
              <w:rPr>
                <w:rFonts w:ascii="Times New Roman" w:cs="Times New Roman" w:eastAsia="Times New Roman" w:hAnsi="Times New Roman"/>
                <w:sz w:val="16"/>
                <w:szCs w:val="16"/>
                <w:color w:val="auto"/>
              </w:rPr>
              <w:t>30.7 %</w:t>
            </w:r>
          </w:p>
        </w:tc>
        <w:tc>
          <w:tcPr>
            <w:tcW w:w="180" w:type="dxa"/>
            <w:vAlign w:val="bottom"/>
            <w:tcBorders>
              <w:top w:val="single" w:sz="8" w:color="auto"/>
              <w:bottom w:val="single" w:sz="8" w:color="auto"/>
            </w:tcBorders>
            <w:gridSpan w:val="2"/>
            <w:shd w:val="clear" w:color="auto" w:fill="CCEEFF"/>
          </w:tcPr>
          <w:p>
            <w:pPr>
              <w:jc w:val="right"/>
              <w:ind w:right="100"/>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379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(2,319)</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CCEEFF"/>
              <w:bottom w:val="single" w:sz="8" w:color="CCEEFF"/>
            </w:tcBorders>
            <w:gridSpan w:val="3"/>
            <w:shd w:val="clear" w:color="auto" w:fill="CCEEFF"/>
          </w:tcPr>
          <w:p>
            <w:pPr>
              <w:jc w:val="right"/>
              <w:ind w:right="20"/>
              <w:spacing w:after="0" w:line="178" w:lineRule="exact"/>
              <w:rPr>
                <w:sz w:val="20"/>
                <w:szCs w:val="20"/>
                <w:color w:val="auto"/>
              </w:rPr>
            </w:pPr>
            <w:r>
              <w:rPr>
                <w:rFonts w:ascii="Times New Roman" w:cs="Times New Roman" w:eastAsia="Times New Roman" w:hAnsi="Times New Roman"/>
                <w:sz w:val="16"/>
                <w:szCs w:val="16"/>
                <w:color w:val="auto"/>
              </w:rPr>
              <w:t>122.5 %</w:t>
            </w:r>
          </w:p>
        </w:tc>
      </w:tr>
      <w:tr>
        <w:trPr>
          <w:trHeight w:val="20"/>
        </w:trPr>
        <w:tc>
          <w:tcPr>
            <w:tcW w:w="4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721"/>
        </w:trPr>
        <w:tc>
          <w:tcPr>
            <w:tcW w:w="4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71"/>
        </w:trPr>
        <w:tc>
          <w:tcPr>
            <w:tcW w:w="4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461" w:right="979" w:bottom="1440" w:gutter="0" w:footer="0" w:header="0"/>
        </w:sectPr>
      </w:pPr>
    </w:p>
    <w:bookmarkStart w:id="30" w:name="page31"/>
    <w:bookmarkEnd w:id="30"/>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Revenues</w:t>
      </w:r>
    </w:p>
    <w:p>
      <w:pPr>
        <w:spacing w:after="0" w:line="156" w:lineRule="exact"/>
        <w:rPr>
          <w:sz w:val="20"/>
          <w:szCs w:val="20"/>
          <w:color w:val="auto"/>
        </w:rPr>
      </w:pPr>
    </w:p>
    <w:p>
      <w:pPr>
        <w:jc w:val="both"/>
        <w:ind w:left="5"/>
        <w:spacing w:after="0" w:line="247" w:lineRule="auto"/>
        <w:rPr>
          <w:sz w:val="20"/>
          <w:szCs w:val="20"/>
          <w:color w:val="auto"/>
        </w:rPr>
      </w:pPr>
      <w:r>
        <w:rPr>
          <w:rFonts w:ascii="Times New Roman" w:cs="Times New Roman" w:eastAsia="Times New Roman" w:hAnsi="Times New Roman"/>
          <w:sz w:val="16"/>
          <w:szCs w:val="16"/>
          <w:color w:val="auto"/>
        </w:rPr>
        <w:t>The Company’s primary source of revenue is from fees and commissions from products and advisory services offered by our advisors to their clients, a substantial portion of which we pay out to our advisors. We also generate interest income in accordance with our agreements with our clearing partners. In accordance with ASC 606, Revenue from Contracts with Customers, we record revenue when control of the promised services is transferred to customers in an amount that reflects the consideration the Company expects to be entitled to in exchange for those services. Revenues are analyzed to determine whether the Company is the principal (i.e., reports revenues on a gross basis) or agent (i.e., reports revenues on a net basis) in the contract. Principal or agent designations depend primarily on the control an entity has over the product or service before control is transferred to a customer. The indicators of which party exercises control include primary responsibility over performance obligations, inventory risk before the good or service is transferred and discretion in establishing the price.</w:t>
      </w:r>
    </w:p>
    <w:p>
      <w:pPr>
        <w:spacing w:after="0" w:line="12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Commissions</w:t>
      </w:r>
    </w:p>
    <w:p>
      <w:pPr>
        <w:spacing w:after="0" w:line="168" w:lineRule="exact"/>
        <w:rPr>
          <w:sz w:val="20"/>
          <w:szCs w:val="20"/>
          <w:color w:val="auto"/>
        </w:rPr>
      </w:pPr>
    </w:p>
    <w:p>
      <w:pPr>
        <w:jc w:val="both"/>
        <w:ind w:left="5" w:right="20"/>
        <w:spacing w:after="0" w:line="267" w:lineRule="auto"/>
        <w:rPr>
          <w:sz w:val="20"/>
          <w:szCs w:val="20"/>
          <w:color w:val="auto"/>
        </w:rPr>
      </w:pPr>
      <w:r>
        <w:rPr>
          <w:rFonts w:ascii="Times New Roman" w:cs="Times New Roman" w:eastAsia="Times New Roman" w:hAnsi="Times New Roman"/>
          <w:sz w:val="16"/>
          <w:szCs w:val="16"/>
          <w:color w:val="auto"/>
        </w:rPr>
        <w:t>Commission revenues represent sales commissions generated by advisors for their clients’ purchases and sales of securities on exchanges and over-the-counter, as well as purchases of other investment products.</w:t>
      </w:r>
    </w:p>
    <w:p>
      <w:pPr>
        <w:spacing w:after="0" w:line="116" w:lineRule="exact"/>
        <w:rPr>
          <w:sz w:val="20"/>
          <w:szCs w:val="20"/>
          <w:color w:val="auto"/>
        </w:rPr>
      </w:pPr>
    </w:p>
    <w:p>
      <w:pPr>
        <w:jc w:val="both"/>
        <w:ind w:left="5"/>
        <w:spacing w:after="0" w:line="245" w:lineRule="auto"/>
        <w:rPr>
          <w:sz w:val="20"/>
          <w:szCs w:val="20"/>
          <w:color w:val="auto"/>
        </w:rPr>
      </w:pPr>
      <w:r>
        <w:rPr>
          <w:rFonts w:ascii="Times New Roman" w:cs="Times New Roman" w:eastAsia="Times New Roman" w:hAnsi="Times New Roman"/>
          <w:sz w:val="16"/>
          <w:szCs w:val="16"/>
          <w:color w:val="auto"/>
        </w:rPr>
        <w:t>The Company generates two types of commission revenues: sales-based commissions that are recognized at the point of sale on the trade date and trailing commissions that are recognized over time as earned. Sales-based commission revenues vary by investment product and are recognized on the trade date or the transaction date, which represents the completion of the Company’s performance obligation because that is when the underlying financial instrument or purchaser is identified, the pricing is agreed upon, and the risks and rewards of ownership have been transferred to/from the customer at a point in time. The rates at which commissions are charged to the customers range from 1% to 7% based on the investment product. Trailing commission revenues which are preliminarily related to the sales of mutual funds and variable annuities held by clients of the Company’s advisors are generally based on a percentage of the current market value of clients’ investment holdings in trail-eligible assets, and are recognized over the time the client owns the investment or holds the contract and is generally based on a fixed rate applied, generally twenty-five to fifty basis points (25-50 bps) of the current market value of the clients’ holdings. Trailing commissions are generally received monthly or quarterly. The ongoing revenue is not recognized at the time of sale because it is variably constrained due to factors outside the Company’s control including market volatility and the client’s investment hold period and the Company does not believe that it can overcome such constraints until the market value of the fund and the investor activities are known. The revenues will not be recognized until it is probable that a significant reversal will not occur.</w:t>
      </w:r>
    </w:p>
    <w:p>
      <w:pPr>
        <w:spacing w:after="0" w:line="138" w:lineRule="exact"/>
        <w:rPr>
          <w:sz w:val="20"/>
          <w:szCs w:val="20"/>
          <w:color w:val="auto"/>
        </w:rPr>
      </w:pPr>
    </w:p>
    <w:p>
      <w:pPr>
        <w:jc w:val="both"/>
        <w:ind w:left="5"/>
        <w:spacing w:after="0" w:line="290" w:lineRule="auto"/>
        <w:rPr>
          <w:sz w:val="20"/>
          <w:szCs w:val="20"/>
          <w:color w:val="auto"/>
        </w:rPr>
      </w:pPr>
      <w:r>
        <w:rPr>
          <w:rFonts w:ascii="Times New Roman" w:cs="Times New Roman" w:eastAsia="Times New Roman" w:hAnsi="Times New Roman"/>
          <w:sz w:val="14"/>
          <w:szCs w:val="14"/>
          <w:color w:val="auto"/>
        </w:rPr>
        <w:t>The Company is principal for the commission revenue, as it is responsible for the execution of the clients’ purchases and sales and maintains relationships with the product sponsors. Advisors assist the Company in performing it obligations. Accordingly, total commission revenue is reported on a gross basis. See Note 4</w:t>
      </w:r>
    </w:p>
    <w:p>
      <w:pPr>
        <w:ind w:left="5" w:right="20" w:hanging="5"/>
        <w:spacing w:after="0" w:line="247" w:lineRule="auto"/>
        <w:tabs>
          <w:tab w:leader="none" w:pos="96"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Revenues From Contracts with Customers within the notes to the condensed consolidated financial statements for the three and six-month periods ended June 30, 2025, and 2024 for further details regarding our commission revenue by product category.</w:t>
      </w:r>
    </w:p>
    <w:p>
      <w:pPr>
        <w:spacing w:after="0" w:line="14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4"/>
          <w:szCs w:val="14"/>
          <w:color w:val="auto"/>
        </w:rPr>
        <w:t>The following tables sets forth the components of our commission revenue for the three and six-month periods ended June 30, 2025 and 2024 (in thousands):</w:t>
      </w:r>
    </w:p>
    <w:p>
      <w:pPr>
        <w:spacing w:after="0" w:line="184" w:lineRule="exact"/>
        <w:rPr>
          <w:sz w:val="20"/>
          <w:szCs w:val="20"/>
          <w:color w:val="auto"/>
        </w:rPr>
      </w:pPr>
    </w:p>
    <w:tbl>
      <w:tblPr>
        <w:tblLayout w:type="fixed"/>
        <w:tblInd w:w="5" w:type="dxa"/>
        <w:tblCellMar>
          <w:top w:w="0" w:type="dxa"/>
          <w:left w:w="0" w:type="dxa"/>
          <w:bottom w:w="0" w:type="dxa"/>
          <w:right w:w="0" w:type="dxa"/>
        </w:tblCellMar>
      </w:tblPr>
      <w:tr>
        <w:trPr>
          <w:trHeight w:val="150"/>
        </w:trPr>
        <w:tc>
          <w:tcPr>
            <w:tcW w:w="3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880" w:type="dxa"/>
            <w:vAlign w:val="bottom"/>
            <w:gridSpan w:val="6"/>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For the three-month periods ended June 30,</w:t>
            </w:r>
          </w:p>
        </w:tc>
        <w:tc>
          <w:tcPr>
            <w:tcW w:w="1020" w:type="dxa"/>
            <w:vAlign w:val="bottom"/>
            <w:vMerge w:val="restart"/>
          </w:tcPr>
          <w:p>
            <w:pPr>
              <w:jc w:val="right"/>
              <w:ind w:right="186"/>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160" w:type="dxa"/>
            <w:vAlign w:val="bottom"/>
          </w:tcPr>
          <w:p>
            <w:pPr>
              <w:spacing w:after="0"/>
              <w:rPr>
                <w:sz w:val="13"/>
                <w:szCs w:val="13"/>
                <w:color w:val="auto"/>
              </w:rPr>
            </w:pPr>
          </w:p>
        </w:tc>
        <w:tc>
          <w:tcPr>
            <w:tcW w:w="940" w:type="dxa"/>
            <w:vAlign w:val="bottom"/>
            <w:vMerge w:val="restart"/>
          </w:tcPr>
          <w:p>
            <w:pPr>
              <w:jc w:val="right"/>
              <w:ind w:right="130"/>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1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3240" w:type="dxa"/>
            <w:vAlign w:val="bottom"/>
            <w:tcBorders>
              <w:bottom w:val="single" w:sz="8" w:color="CCEEFF"/>
            </w:tcBorders>
          </w:tcPr>
          <w:p>
            <w:pPr>
              <w:spacing w:after="0"/>
              <w:rPr>
                <w:sz w:val="10"/>
                <w:szCs w:val="10"/>
                <w:color w:val="auto"/>
              </w:rPr>
            </w:pPr>
          </w:p>
        </w:tc>
        <w:tc>
          <w:tcPr>
            <w:tcW w:w="1540" w:type="dxa"/>
            <w:vAlign w:val="bottom"/>
            <w:tcBorders>
              <w:bottom w:val="single" w:sz="8" w:color="CCEEFF"/>
            </w:tcBorders>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2025</w:t>
            </w:r>
          </w:p>
        </w:tc>
        <w:tc>
          <w:tcPr>
            <w:tcW w:w="500" w:type="dxa"/>
            <w:vAlign w:val="bottom"/>
            <w:tcBorders>
              <w:top w:val="single" w:sz="8" w:color="auto"/>
              <w:bottom w:val="single" w:sz="8" w:color="auto"/>
            </w:tcBorders>
          </w:tcPr>
          <w:p>
            <w:pPr>
              <w:spacing w:after="0"/>
              <w:rPr>
                <w:sz w:val="10"/>
                <w:szCs w:val="10"/>
                <w:color w:val="auto"/>
              </w:rPr>
            </w:pPr>
          </w:p>
        </w:tc>
        <w:tc>
          <w:tcPr>
            <w:tcW w:w="180" w:type="dxa"/>
            <w:vAlign w:val="bottom"/>
            <w:tcBorders>
              <w:top w:val="single" w:sz="8" w:color="auto"/>
              <w:bottom w:val="single" w:sz="8" w:color="CCEEFF"/>
            </w:tcBorders>
          </w:tcPr>
          <w:p>
            <w:pPr>
              <w:spacing w:after="0"/>
              <w:rPr>
                <w:sz w:val="10"/>
                <w:szCs w:val="10"/>
                <w:color w:val="auto"/>
              </w:rPr>
            </w:pPr>
          </w:p>
        </w:tc>
        <w:tc>
          <w:tcPr>
            <w:tcW w:w="300" w:type="dxa"/>
            <w:vAlign w:val="bottom"/>
            <w:tcBorders>
              <w:top w:val="single" w:sz="8" w:color="auto"/>
              <w:bottom w:val="single" w:sz="8" w:color="auto"/>
            </w:tcBorders>
          </w:tcPr>
          <w:p>
            <w:pPr>
              <w:spacing w:after="0"/>
              <w:rPr>
                <w:sz w:val="10"/>
                <w:szCs w:val="10"/>
                <w:color w:val="auto"/>
              </w:rPr>
            </w:pPr>
          </w:p>
        </w:tc>
        <w:tc>
          <w:tcPr>
            <w:tcW w:w="980" w:type="dxa"/>
            <w:vAlign w:val="bottom"/>
            <w:tcBorders>
              <w:top w:val="single" w:sz="8" w:color="auto"/>
              <w:bottom w:val="single" w:sz="8" w:color="auto"/>
            </w:tcBorders>
          </w:tcPr>
          <w:p>
            <w:pPr>
              <w:jc w:val="right"/>
              <w:ind w:right="446"/>
              <w:spacing w:after="0" w:line="120" w:lineRule="exact"/>
              <w:rPr>
                <w:sz w:val="20"/>
                <w:szCs w:val="20"/>
                <w:color w:val="auto"/>
              </w:rPr>
            </w:pPr>
            <w:r>
              <w:rPr>
                <w:rFonts w:ascii="Times New Roman" w:cs="Times New Roman" w:eastAsia="Times New Roman" w:hAnsi="Times New Roman"/>
                <w:sz w:val="12"/>
                <w:szCs w:val="12"/>
                <w:b w:val="1"/>
                <w:bCs w:val="1"/>
                <w:color w:val="auto"/>
              </w:rPr>
              <w:t>2024</w:t>
            </w:r>
          </w:p>
        </w:tc>
        <w:tc>
          <w:tcPr>
            <w:tcW w:w="160" w:type="dxa"/>
            <w:vAlign w:val="bottom"/>
            <w:tcBorders>
              <w:bottom w:val="single" w:sz="8" w:color="CCEEFF"/>
            </w:tcBorders>
          </w:tcPr>
          <w:p>
            <w:pPr>
              <w:spacing w:after="0"/>
              <w:rPr>
                <w:sz w:val="10"/>
                <w:szCs w:val="10"/>
                <w:color w:val="auto"/>
              </w:rPr>
            </w:pPr>
          </w:p>
        </w:tc>
        <w:tc>
          <w:tcPr>
            <w:tcW w:w="1020" w:type="dxa"/>
            <w:vAlign w:val="bottom"/>
            <w:tcBorders>
              <w:bottom w:val="single" w:sz="8" w:color="auto"/>
            </w:tcBorders>
            <w:vMerge w:val="continue"/>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940" w:type="dxa"/>
            <w:vAlign w:val="bottom"/>
            <w:tcBorders>
              <w:bottom w:val="single" w:sz="8" w:color="auto"/>
            </w:tcBorders>
            <w:vMerge w:val="continue"/>
          </w:tcPr>
          <w:p>
            <w:pPr>
              <w:spacing w:after="0"/>
              <w:rPr>
                <w:sz w:val="10"/>
                <w:szCs w:val="10"/>
                <w:color w:val="auto"/>
              </w:rPr>
            </w:pPr>
          </w:p>
        </w:tc>
        <w:tc>
          <w:tcPr>
            <w:tcW w:w="140" w:type="dxa"/>
            <w:vAlign w:val="bottom"/>
            <w:tcBorders>
              <w:bottom w:val="single" w:sz="8" w:color="CCEEFF"/>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324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Sales-based</w:t>
            </w:r>
          </w:p>
        </w:tc>
        <w:tc>
          <w:tcPr>
            <w:tcW w:w="15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41"/>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95"/>
              </w:rPr>
              <w:t>14,868</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15,850</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(982)</w:t>
            </w: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187"/>
        </w:trPr>
        <w:tc>
          <w:tcPr>
            <w:tcW w:w="3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Trailing</w:t>
            </w:r>
          </w:p>
        </w:tc>
        <w:tc>
          <w:tcPr>
            <w:tcW w:w="154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19,130</w:t>
            </w:r>
          </w:p>
        </w:tc>
        <w:tc>
          <w:tcPr>
            <w:tcW w:w="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17,813</w:t>
            </w:r>
          </w:p>
        </w:tc>
        <w:tc>
          <w:tcPr>
            <w:tcW w:w="1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124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0" w:type="dxa"/>
            <w:vAlign w:val="bottom"/>
          </w:tcPr>
          <w:p>
            <w:pPr>
              <w:spacing w:after="0"/>
              <w:rPr>
                <w:sz w:val="1"/>
                <w:szCs w:val="1"/>
                <w:color w:val="auto"/>
              </w:rPr>
            </w:pPr>
          </w:p>
        </w:tc>
      </w:tr>
      <w:tr>
        <w:trPr>
          <w:trHeight w:val="178"/>
        </w:trPr>
        <w:tc>
          <w:tcPr>
            <w:tcW w:w="3240" w:type="dxa"/>
            <w:vAlign w:val="bottom"/>
            <w:tcBorders>
              <w:bottom w:val="single" w:sz="8" w:color="CCEEFF"/>
            </w:tcBorders>
            <w:shd w:val="clear" w:color="auto" w:fill="CCEEFF"/>
          </w:tcPr>
          <w:p>
            <w:pPr>
              <w:ind w:left="80"/>
              <w:spacing w:after="0" w:line="178" w:lineRule="exact"/>
              <w:rPr>
                <w:sz w:val="20"/>
                <w:szCs w:val="20"/>
                <w:color w:val="auto"/>
              </w:rPr>
            </w:pPr>
            <w:r>
              <w:rPr>
                <w:rFonts w:ascii="Times New Roman" w:cs="Times New Roman" w:eastAsia="Times New Roman" w:hAnsi="Times New Roman"/>
                <w:sz w:val="16"/>
                <w:szCs w:val="16"/>
                <w:color w:val="auto"/>
              </w:rPr>
              <w:t>Total commission revenue</w:t>
            </w:r>
          </w:p>
        </w:tc>
        <w:tc>
          <w:tcPr>
            <w:tcW w:w="15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641"/>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95"/>
              </w:rPr>
              <w:t>33,998</w:t>
            </w:r>
          </w:p>
        </w:tc>
        <w:tc>
          <w:tcPr>
            <w:tcW w:w="1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4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33,663</w:t>
            </w:r>
          </w:p>
        </w:tc>
        <w:tc>
          <w:tcPr>
            <w:tcW w:w="1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335</w:t>
            </w:r>
          </w:p>
        </w:tc>
        <w:tc>
          <w:tcPr>
            <w:tcW w:w="1240" w:type="dxa"/>
            <w:vAlign w:val="bottom"/>
            <w:tcBorders>
              <w:bottom w:val="single" w:sz="8" w:color="CCEEFF"/>
            </w:tcBorders>
            <w:gridSpan w:val="3"/>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80" w:type="dxa"/>
            <w:vAlign w:val="bottom"/>
            <w:gridSpan w:val="6"/>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For the six-month periods ended June 30,</w:t>
            </w:r>
          </w:p>
        </w:tc>
        <w:tc>
          <w:tcPr>
            <w:tcW w:w="1020" w:type="dxa"/>
            <w:vAlign w:val="bottom"/>
            <w:vMerge w:val="restart"/>
          </w:tcPr>
          <w:p>
            <w:pPr>
              <w:jc w:val="right"/>
              <w:ind w:right="186"/>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160" w:type="dxa"/>
            <w:vAlign w:val="bottom"/>
          </w:tcPr>
          <w:p>
            <w:pPr>
              <w:spacing w:after="0"/>
              <w:rPr>
                <w:sz w:val="24"/>
                <w:szCs w:val="24"/>
                <w:color w:val="auto"/>
              </w:rPr>
            </w:pPr>
          </w:p>
        </w:tc>
        <w:tc>
          <w:tcPr>
            <w:tcW w:w="1080" w:type="dxa"/>
            <w:vAlign w:val="bottom"/>
            <w:gridSpan w:val="2"/>
            <w:vMerge w:val="restart"/>
          </w:tcPr>
          <w:p>
            <w:pPr>
              <w:jc w:val="right"/>
              <w:ind w:right="262"/>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0" w:type="dxa"/>
            <w:vAlign w:val="bottom"/>
          </w:tcPr>
          <w:p>
            <w:pPr>
              <w:spacing w:after="0"/>
              <w:rPr>
                <w:sz w:val="1"/>
                <w:szCs w:val="1"/>
                <w:color w:val="auto"/>
              </w:rPr>
            </w:pPr>
          </w:p>
        </w:tc>
      </w:tr>
      <w:tr>
        <w:trPr>
          <w:trHeight w:val="120"/>
        </w:trPr>
        <w:tc>
          <w:tcPr>
            <w:tcW w:w="32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76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2025</w:t>
            </w:r>
          </w:p>
        </w:tc>
        <w:tc>
          <w:tcPr>
            <w:tcW w:w="5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446"/>
              <w:spacing w:after="0" w:line="120" w:lineRule="exact"/>
              <w:rPr>
                <w:sz w:val="20"/>
                <w:szCs w:val="20"/>
                <w:color w:val="auto"/>
              </w:rPr>
            </w:pPr>
            <w:r>
              <w:rPr>
                <w:rFonts w:ascii="Times New Roman" w:cs="Times New Roman" w:eastAsia="Times New Roman" w:hAnsi="Times New Roman"/>
                <w:sz w:val="12"/>
                <w:szCs w:val="12"/>
                <w:b w:val="1"/>
                <w:bCs w:val="1"/>
                <w:color w:val="auto"/>
              </w:rPr>
              <w:t>2024</w:t>
            </w:r>
          </w:p>
        </w:tc>
        <w:tc>
          <w:tcPr>
            <w:tcW w:w="16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324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Sales-based</w:t>
            </w:r>
          </w:p>
        </w:tc>
        <w:tc>
          <w:tcPr>
            <w:tcW w:w="15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ind w:right="641"/>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95"/>
              </w:rPr>
              <w:t>35,278</w:t>
            </w:r>
          </w:p>
        </w:tc>
        <w:tc>
          <w:tcPr>
            <w:tcW w:w="1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31,617</w:t>
            </w:r>
          </w:p>
        </w:tc>
        <w:tc>
          <w:tcPr>
            <w:tcW w:w="16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3,661</w:t>
            </w:r>
          </w:p>
        </w:tc>
        <w:tc>
          <w:tcPr>
            <w:tcW w:w="16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11.6</w:t>
            </w:r>
          </w:p>
        </w:tc>
        <w:tc>
          <w:tcPr>
            <w:tcW w:w="140" w:type="dxa"/>
            <w:vAlign w:val="bottom"/>
            <w:tcBorders>
              <w:top w:val="single" w:sz="8" w:color="CCEEFF"/>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87"/>
        </w:trPr>
        <w:tc>
          <w:tcPr>
            <w:tcW w:w="3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Trailing</w:t>
            </w:r>
          </w:p>
        </w:tc>
        <w:tc>
          <w:tcPr>
            <w:tcW w:w="154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39,858</w:t>
            </w:r>
          </w:p>
        </w:tc>
        <w:tc>
          <w:tcPr>
            <w:tcW w:w="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36,441</w:t>
            </w:r>
          </w:p>
        </w:tc>
        <w:tc>
          <w:tcPr>
            <w:tcW w:w="1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3,417</w:t>
            </w:r>
          </w:p>
        </w:tc>
        <w:tc>
          <w:tcPr>
            <w:tcW w:w="124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0" w:type="dxa"/>
            <w:vAlign w:val="bottom"/>
          </w:tcPr>
          <w:p>
            <w:pPr>
              <w:spacing w:after="0"/>
              <w:rPr>
                <w:sz w:val="1"/>
                <w:szCs w:val="1"/>
                <w:color w:val="auto"/>
              </w:rPr>
            </w:pPr>
          </w:p>
        </w:tc>
      </w:tr>
      <w:tr>
        <w:trPr>
          <w:trHeight w:val="178"/>
        </w:trPr>
        <w:tc>
          <w:tcPr>
            <w:tcW w:w="3240" w:type="dxa"/>
            <w:vAlign w:val="bottom"/>
            <w:tcBorders>
              <w:bottom w:val="single" w:sz="8" w:color="CCEEFF"/>
            </w:tcBorders>
            <w:shd w:val="clear" w:color="auto" w:fill="CCEEFF"/>
          </w:tcPr>
          <w:p>
            <w:pPr>
              <w:ind w:left="80"/>
              <w:spacing w:after="0" w:line="178" w:lineRule="exact"/>
              <w:rPr>
                <w:sz w:val="20"/>
                <w:szCs w:val="20"/>
                <w:color w:val="auto"/>
              </w:rPr>
            </w:pPr>
            <w:r>
              <w:rPr>
                <w:rFonts w:ascii="Times New Roman" w:cs="Times New Roman" w:eastAsia="Times New Roman" w:hAnsi="Times New Roman"/>
                <w:sz w:val="16"/>
                <w:szCs w:val="16"/>
                <w:color w:val="auto"/>
              </w:rPr>
              <w:t>Total commission revenue</w:t>
            </w:r>
          </w:p>
        </w:tc>
        <w:tc>
          <w:tcPr>
            <w:tcW w:w="15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641"/>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95"/>
              </w:rPr>
              <w:t>75,136</w:t>
            </w:r>
          </w:p>
        </w:tc>
        <w:tc>
          <w:tcPr>
            <w:tcW w:w="1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4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68,058</w:t>
            </w:r>
          </w:p>
        </w:tc>
        <w:tc>
          <w:tcPr>
            <w:tcW w:w="1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7,078</w:t>
            </w:r>
          </w:p>
        </w:tc>
        <w:tc>
          <w:tcPr>
            <w:tcW w:w="1240" w:type="dxa"/>
            <w:vAlign w:val="bottom"/>
            <w:tcBorders>
              <w:bottom w:val="single" w:sz="8" w:color="CCEEFF"/>
            </w:tcBorders>
            <w:gridSpan w:val="3"/>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10.4 %</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0"/>
        </w:trPr>
        <w:tc>
          <w:tcPr>
            <w:tcW w:w="3240" w:type="dxa"/>
            <w:vAlign w:val="bottom"/>
          </w:tcPr>
          <w:p>
            <w:pPr>
              <w:spacing w:after="0"/>
              <w:rPr>
                <w:sz w:val="24"/>
                <w:szCs w:val="24"/>
                <w:color w:val="auto"/>
              </w:rPr>
            </w:pPr>
          </w:p>
        </w:tc>
        <w:tc>
          <w:tcPr>
            <w:tcW w:w="2300" w:type="dxa"/>
            <w:vAlign w:val="bottom"/>
            <w:gridSpan w:val="2"/>
          </w:tcPr>
          <w:p>
            <w:pPr>
              <w:jc w:val="right"/>
              <w:ind w:right="441"/>
              <w:spacing w:after="0"/>
              <w:rPr>
                <w:sz w:val="20"/>
                <w:szCs w:val="20"/>
                <w:color w:val="auto"/>
              </w:rPr>
            </w:pPr>
            <w:r>
              <w:rPr>
                <w:rFonts w:ascii="Times New Roman" w:cs="Times New Roman" w:eastAsia="Times New Roman" w:hAnsi="Times New Roman"/>
                <w:sz w:val="16"/>
                <w:szCs w:val="16"/>
                <w:color w:val="auto"/>
              </w:rPr>
              <w:t>28</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32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5"/>
          </w:cols>
          <w:pgMar w:left="975" w:top="461" w:right="979" w:bottom="1440" w:gutter="0" w:footer="0" w:header="0"/>
        </w:sectPr>
      </w:pPr>
    </w:p>
    <w:bookmarkStart w:id="31" w:name="page32"/>
    <w:bookmarkEnd w:id="31"/>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0" w:lineRule="exact"/>
        <w:rPr>
          <w:sz w:val="20"/>
          <w:szCs w:val="20"/>
          <w:color w:val="auto"/>
        </w:rPr>
      </w:pPr>
    </w:p>
    <w:p>
      <w:pPr>
        <w:jc w:val="both"/>
        <w:ind w:left="5"/>
        <w:spacing w:after="0" w:line="247" w:lineRule="auto"/>
        <w:rPr>
          <w:sz w:val="20"/>
          <w:szCs w:val="20"/>
          <w:color w:val="auto"/>
        </w:rPr>
      </w:pPr>
      <w:r>
        <w:rPr>
          <w:rFonts w:ascii="Times New Roman" w:cs="Times New Roman" w:eastAsia="Times New Roman" w:hAnsi="Times New Roman"/>
          <w:sz w:val="16"/>
          <w:szCs w:val="16"/>
          <w:color w:val="auto"/>
        </w:rPr>
        <w:t>Sales-based revenue decreased by approximately $1.0 million and increased approximately $3.7 million or (6.2)% and 11.6% for the three and six-month period ended June 30, 2025, respectively, as compared to 2024. Trailing based revenue increased by approximately $1.3 million and $3.4 million or 7.4% and 9.4% for the three and six-month period ended June 30, 2025, respectively, as compared to 2024. The decrease in sales-based revenue for the three month period ended June 30, 2025 as compared to 2024 is attributable to a decrease in the sales of insurance related products. The increase in sales-based revenue for the six-month period ended June 30, 2025, as compared to 2024 is attributable to an increase in the generation of transactional based products, specifically alternative investment products. The increase in the trailing based revenues is due to the increase in trail-based assets resulting from inflows of assets and positive market volatility. Commission revenue is generated from brokerage assets. The following tables summarize the brokerage assets for the three and six-month periods ended June 30, 2025 and 2024 (in billions):</w:t>
      </w:r>
    </w:p>
    <w:p>
      <w:pPr>
        <w:spacing w:after="0" w:line="137" w:lineRule="exact"/>
        <w:rPr>
          <w:sz w:val="20"/>
          <w:szCs w:val="20"/>
          <w:color w:val="auto"/>
        </w:rPr>
      </w:pPr>
    </w:p>
    <w:tbl>
      <w:tblPr>
        <w:tblLayout w:type="fixed"/>
        <w:tblInd w:w="5" w:type="dxa"/>
        <w:tblCellMar>
          <w:top w:w="0" w:type="dxa"/>
          <w:left w:w="0" w:type="dxa"/>
          <w:bottom w:w="0" w:type="dxa"/>
          <w:right w:w="0" w:type="dxa"/>
        </w:tblCellMar>
      </w:tblPr>
      <w:tr>
        <w:trPr>
          <w:trHeight w:val="150"/>
        </w:trPr>
        <w:tc>
          <w:tcPr>
            <w:tcW w:w="5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2"/>
                <w:szCs w:val="12"/>
                <w:b w:val="1"/>
                <w:bCs w:val="1"/>
                <w:color w:val="auto"/>
              </w:rPr>
              <w:t>As of June 30,</w:t>
            </w:r>
          </w:p>
        </w:tc>
        <w:tc>
          <w:tcPr>
            <w:tcW w:w="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53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92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240" w:type="dxa"/>
            <w:vAlign w:val="bottom"/>
            <w:tcBorders>
              <w:bottom w:val="single" w:sz="8" w:color="CCEEFF"/>
            </w:tcBorders>
          </w:tcPr>
          <w:p>
            <w:pPr>
              <w:spacing w:after="0"/>
              <w:rPr>
                <w:sz w:val="10"/>
                <w:szCs w:val="10"/>
                <w:color w:val="auto"/>
              </w:rPr>
            </w:pPr>
          </w:p>
        </w:tc>
        <w:tc>
          <w:tcPr>
            <w:tcW w:w="26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gridSpan w:val="3"/>
          </w:tcPr>
          <w:p>
            <w:pPr>
              <w:jc w:val="right"/>
              <w:ind w:right="40"/>
              <w:spacing w:after="0" w:line="120" w:lineRule="exact"/>
              <w:rPr>
                <w:sz w:val="20"/>
                <w:szCs w:val="20"/>
                <w:color w:val="auto"/>
              </w:rPr>
            </w:pPr>
            <w:r>
              <w:rPr>
                <w:rFonts w:ascii="Times New Roman" w:cs="Times New Roman" w:eastAsia="Times New Roman" w:hAnsi="Times New Roman"/>
                <w:sz w:val="12"/>
                <w:szCs w:val="12"/>
                <w:b w:val="1"/>
                <w:bCs w:val="1"/>
                <w:color w:val="auto"/>
              </w:rPr>
              <w:t>2025</w:t>
            </w:r>
          </w:p>
        </w:tc>
        <w:tc>
          <w:tcPr>
            <w:tcW w:w="480" w:type="dxa"/>
            <w:vAlign w:val="bottom"/>
            <w:tcBorders>
              <w:bottom w:val="single" w:sz="8" w:color="auto"/>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447"/>
              <w:spacing w:after="0" w:line="120" w:lineRule="exact"/>
              <w:rPr>
                <w:sz w:val="20"/>
                <w:szCs w:val="20"/>
                <w:color w:val="auto"/>
              </w:rPr>
            </w:pPr>
            <w:r>
              <w:rPr>
                <w:rFonts w:ascii="Times New Roman" w:cs="Times New Roman" w:eastAsia="Times New Roman" w:hAnsi="Times New Roman"/>
                <w:sz w:val="12"/>
                <w:szCs w:val="12"/>
                <w:b w:val="1"/>
                <w:bCs w:val="1"/>
                <w:color w:val="auto"/>
              </w:rPr>
              <w:t>2024</w:t>
            </w:r>
          </w:p>
        </w:tc>
        <w:tc>
          <w:tcPr>
            <w:tcW w:w="0" w:type="dxa"/>
            <w:vAlign w:val="bottom"/>
          </w:tcPr>
          <w:p>
            <w:pPr>
              <w:spacing w:after="0"/>
              <w:rPr>
                <w:sz w:val="1"/>
                <w:szCs w:val="1"/>
                <w:color w:val="auto"/>
              </w:rPr>
            </w:pPr>
          </w:p>
        </w:tc>
      </w:tr>
      <w:tr>
        <w:trPr>
          <w:trHeight w:val="178"/>
        </w:trPr>
        <w:tc>
          <w:tcPr>
            <w:tcW w:w="534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Brokerage Assets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90"/>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25.1</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203"/>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w w:val="97"/>
              </w:rPr>
              <w:t>Included in the brokerage assets above are trail-eligible assets as follows (in billions):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5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2"/>
                <w:szCs w:val="12"/>
                <w:b w:val="1"/>
                <w:bCs w:val="1"/>
                <w:color w:val="auto"/>
              </w:rPr>
              <w:t>As of June 30,</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3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92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240" w:type="dxa"/>
            <w:vAlign w:val="bottom"/>
            <w:tcBorders>
              <w:bottom w:val="single" w:sz="8" w:color="CCEEFF"/>
            </w:tcBorders>
          </w:tcPr>
          <w:p>
            <w:pPr>
              <w:spacing w:after="0"/>
              <w:rPr>
                <w:sz w:val="10"/>
                <w:szCs w:val="10"/>
                <w:color w:val="auto"/>
              </w:rPr>
            </w:pPr>
          </w:p>
        </w:tc>
        <w:tc>
          <w:tcPr>
            <w:tcW w:w="26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gridSpan w:val="3"/>
          </w:tcPr>
          <w:p>
            <w:pPr>
              <w:jc w:val="right"/>
              <w:ind w:right="40"/>
              <w:spacing w:after="0" w:line="120" w:lineRule="exact"/>
              <w:rPr>
                <w:sz w:val="20"/>
                <w:szCs w:val="20"/>
                <w:color w:val="auto"/>
              </w:rPr>
            </w:pPr>
            <w:r>
              <w:rPr>
                <w:rFonts w:ascii="Times New Roman" w:cs="Times New Roman" w:eastAsia="Times New Roman" w:hAnsi="Times New Roman"/>
                <w:sz w:val="12"/>
                <w:szCs w:val="12"/>
                <w:b w:val="1"/>
                <w:bCs w:val="1"/>
                <w:color w:val="auto"/>
              </w:rPr>
              <w:t>2025</w:t>
            </w:r>
          </w:p>
        </w:tc>
        <w:tc>
          <w:tcPr>
            <w:tcW w:w="480" w:type="dxa"/>
            <w:vAlign w:val="bottom"/>
            <w:tcBorders>
              <w:bottom w:val="single" w:sz="8" w:color="auto"/>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447"/>
              <w:spacing w:after="0" w:line="120" w:lineRule="exact"/>
              <w:rPr>
                <w:sz w:val="20"/>
                <w:szCs w:val="20"/>
                <w:color w:val="auto"/>
              </w:rPr>
            </w:pPr>
            <w:r>
              <w:rPr>
                <w:rFonts w:ascii="Times New Roman" w:cs="Times New Roman" w:eastAsia="Times New Roman" w:hAnsi="Times New Roman"/>
                <w:sz w:val="12"/>
                <w:szCs w:val="12"/>
                <w:b w:val="1"/>
                <w:bCs w:val="1"/>
                <w:color w:val="auto"/>
              </w:rPr>
              <w:t>2024</w:t>
            </w:r>
          </w:p>
        </w:tc>
        <w:tc>
          <w:tcPr>
            <w:tcW w:w="0" w:type="dxa"/>
            <w:vAlign w:val="bottom"/>
          </w:tcPr>
          <w:p>
            <w:pPr>
              <w:spacing w:after="0"/>
              <w:rPr>
                <w:sz w:val="1"/>
                <w:szCs w:val="1"/>
                <w:color w:val="auto"/>
              </w:rPr>
            </w:pPr>
          </w:p>
        </w:tc>
      </w:tr>
      <w:tr>
        <w:trPr>
          <w:trHeight w:val="178"/>
        </w:trPr>
        <w:tc>
          <w:tcPr>
            <w:tcW w:w="534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Trail-Eligible Assets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90"/>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18.1</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373"/>
        </w:trPr>
        <w:tc>
          <w:tcPr>
            <w:tcW w:w="6600" w:type="dxa"/>
            <w:vAlign w:val="bottom"/>
            <w:gridSpan w:val="5"/>
          </w:tcPr>
          <w:p>
            <w:pPr>
              <w:spacing w:after="0"/>
              <w:rPr>
                <w:sz w:val="20"/>
                <w:szCs w:val="20"/>
                <w:color w:val="auto"/>
              </w:rPr>
            </w:pPr>
            <w:r>
              <w:rPr>
                <w:rFonts w:ascii="Times New Roman" w:cs="Times New Roman" w:eastAsia="Times New Roman" w:hAnsi="Times New Roman"/>
                <w:sz w:val="16"/>
                <w:szCs w:val="16"/>
                <w:color w:val="auto"/>
                <w:w w:val="99"/>
              </w:rPr>
              <w:t>The following table summarizes activity impacting brokerage assets for the periods ended (in billions):</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53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Net Flows-Brokerage Assets</w:t>
            </w: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7"/>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For the three months ended June 30,</w:t>
            </w:r>
          </w:p>
        </w:tc>
        <w:tc>
          <w:tcPr>
            <w:tcW w:w="2000" w:type="dxa"/>
            <w:vAlign w:val="bottom"/>
            <w:tcBorders>
              <w:bottom w:val="single" w:sz="8" w:color="auto"/>
            </w:tcBorders>
            <w:gridSpan w:val="6"/>
          </w:tcPr>
          <w:p>
            <w:pPr>
              <w:jc w:val="right"/>
              <w:ind w:right="87"/>
              <w:spacing w:after="0"/>
              <w:rPr>
                <w:sz w:val="20"/>
                <w:szCs w:val="20"/>
                <w:color w:val="auto"/>
              </w:rPr>
            </w:pPr>
            <w:r>
              <w:rPr>
                <w:rFonts w:ascii="Times New Roman" w:cs="Times New Roman" w:eastAsia="Times New Roman" w:hAnsi="Times New Roman"/>
                <w:sz w:val="12"/>
                <w:szCs w:val="12"/>
                <w:b w:val="1"/>
                <w:bCs w:val="1"/>
                <w:color w:val="auto"/>
              </w:rPr>
              <w:t>For the six months ended June 30,</w:t>
            </w:r>
          </w:p>
        </w:tc>
        <w:tc>
          <w:tcPr>
            <w:tcW w:w="0" w:type="dxa"/>
            <w:vAlign w:val="bottom"/>
          </w:tcPr>
          <w:p>
            <w:pPr>
              <w:spacing w:after="0"/>
              <w:rPr>
                <w:sz w:val="1"/>
                <w:szCs w:val="1"/>
                <w:color w:val="auto"/>
              </w:rPr>
            </w:pPr>
          </w:p>
        </w:tc>
      </w:tr>
      <w:tr>
        <w:trPr>
          <w:trHeight w:val="120"/>
        </w:trPr>
        <w:tc>
          <w:tcPr>
            <w:tcW w:w="5340" w:type="dxa"/>
            <w:vAlign w:val="bottom"/>
            <w:tcBorders>
              <w:bottom w:val="single" w:sz="8" w:color="CCEEFF"/>
            </w:tcBorders>
            <w:vMerge w:val="continue"/>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307"/>
              <w:spacing w:after="0" w:line="120" w:lineRule="exact"/>
              <w:rPr>
                <w:sz w:val="20"/>
                <w:szCs w:val="20"/>
                <w:color w:val="auto"/>
              </w:rPr>
            </w:pPr>
            <w:r>
              <w:rPr>
                <w:rFonts w:ascii="Times New Roman" w:cs="Times New Roman" w:eastAsia="Times New Roman" w:hAnsi="Times New Roman"/>
                <w:sz w:val="12"/>
                <w:szCs w:val="12"/>
                <w:b w:val="1"/>
                <w:bCs w:val="1"/>
                <w:color w:val="auto"/>
              </w:rPr>
              <w:t>2025</w:t>
            </w:r>
          </w:p>
        </w:tc>
        <w:tc>
          <w:tcPr>
            <w:tcW w:w="20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2"/>
          </w:tcPr>
          <w:p>
            <w:pPr>
              <w:jc w:val="right"/>
              <w:ind w:right="330"/>
              <w:spacing w:after="0" w:line="120" w:lineRule="exact"/>
              <w:rPr>
                <w:sz w:val="20"/>
                <w:szCs w:val="20"/>
                <w:color w:val="auto"/>
              </w:rPr>
            </w:pPr>
            <w:r>
              <w:rPr>
                <w:rFonts w:ascii="Times New Roman" w:cs="Times New Roman" w:eastAsia="Times New Roman" w:hAnsi="Times New Roman"/>
                <w:sz w:val="12"/>
                <w:szCs w:val="12"/>
                <w:b w:val="1"/>
                <w:bCs w:val="1"/>
                <w:color w:val="auto"/>
              </w:rPr>
              <w:t>2024</w:t>
            </w:r>
          </w:p>
        </w:tc>
        <w:tc>
          <w:tcPr>
            <w:tcW w:w="14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gridSpan w:val="2"/>
          </w:tcPr>
          <w:p>
            <w:pPr>
              <w:jc w:val="right"/>
              <w:ind w:right="20"/>
              <w:spacing w:after="0" w:line="120" w:lineRule="exact"/>
              <w:rPr>
                <w:sz w:val="20"/>
                <w:szCs w:val="20"/>
                <w:color w:val="auto"/>
              </w:rPr>
            </w:pPr>
            <w:r>
              <w:rPr>
                <w:rFonts w:ascii="Times New Roman" w:cs="Times New Roman" w:eastAsia="Times New Roman" w:hAnsi="Times New Roman"/>
                <w:sz w:val="12"/>
                <w:szCs w:val="12"/>
                <w:b w:val="1"/>
                <w:bCs w:val="1"/>
                <w:color w:val="auto"/>
              </w:rPr>
              <w:t>2025</w:t>
            </w: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980" w:type="dxa"/>
            <w:vAlign w:val="bottom"/>
            <w:tcBorders>
              <w:bottom w:val="single" w:sz="8" w:color="auto"/>
            </w:tcBorders>
          </w:tcPr>
          <w:p>
            <w:pPr>
              <w:jc w:val="right"/>
              <w:ind w:right="287"/>
              <w:spacing w:after="0" w:line="120" w:lineRule="exact"/>
              <w:rPr>
                <w:sz w:val="20"/>
                <w:szCs w:val="20"/>
                <w:color w:val="auto"/>
              </w:rPr>
            </w:pPr>
            <w:r>
              <w:rPr>
                <w:rFonts w:ascii="Times New Roman" w:cs="Times New Roman" w:eastAsia="Times New Roman" w:hAnsi="Times New Roman"/>
                <w:sz w:val="12"/>
                <w:szCs w:val="12"/>
                <w:b w:val="1"/>
                <w:bCs w:val="1"/>
                <w:color w:val="auto"/>
              </w:rPr>
              <w:t>2024</w:t>
            </w:r>
          </w:p>
        </w:tc>
        <w:tc>
          <w:tcPr>
            <w:tcW w:w="0" w:type="dxa"/>
            <w:vAlign w:val="bottom"/>
          </w:tcPr>
          <w:p>
            <w:pPr>
              <w:spacing w:after="0"/>
              <w:rPr>
                <w:sz w:val="1"/>
                <w:szCs w:val="1"/>
                <w:color w:val="auto"/>
              </w:rPr>
            </w:pPr>
          </w:p>
        </w:tc>
      </w:tr>
      <w:tr>
        <w:trPr>
          <w:trHeight w:val="178"/>
        </w:trPr>
        <w:tc>
          <w:tcPr>
            <w:tcW w:w="534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Balance – beginning of period</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23.2</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22.7</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4"/>
              <w:spacing w:after="0" w:line="178" w:lineRule="exact"/>
              <w:rPr>
                <w:sz w:val="20"/>
                <w:szCs w:val="20"/>
                <w:color w:val="auto"/>
              </w:rPr>
            </w:pPr>
            <w:r>
              <w:rPr>
                <w:rFonts w:ascii="Times New Roman" w:cs="Times New Roman" w:eastAsia="Times New Roman" w:hAnsi="Times New Roman"/>
                <w:sz w:val="16"/>
                <w:szCs w:val="16"/>
                <w:color w:val="auto"/>
                <w:w w:val="99"/>
              </w:rPr>
              <w:t>24.5</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21.8</w:t>
            </w:r>
          </w:p>
        </w:tc>
        <w:tc>
          <w:tcPr>
            <w:tcW w:w="0" w:type="dxa"/>
            <w:vAlign w:val="bottom"/>
          </w:tcPr>
          <w:p>
            <w:pPr>
              <w:spacing w:after="0"/>
              <w:rPr>
                <w:sz w:val="1"/>
                <w:szCs w:val="1"/>
                <w:color w:val="auto"/>
              </w:rPr>
            </w:pPr>
          </w:p>
        </w:tc>
      </w:tr>
      <w:tr>
        <w:trPr>
          <w:trHeight w:val="187"/>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Net new brokerage assets(1)</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(0.8)</w:t>
            </w: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(0.8)</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(1.1)</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187"/>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Market impact(2)</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1.7</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194"/>
        </w:trPr>
        <w:tc>
          <w:tcPr>
            <w:tcW w:w="53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Balance – End of period</w:t>
            </w:r>
          </w:p>
        </w:tc>
        <w:tc>
          <w:tcPr>
            <w:tcW w:w="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200" w:type="dxa"/>
            <w:vAlign w:val="bottom"/>
          </w:tcPr>
          <w:p>
            <w:pPr>
              <w:spacing w:after="0"/>
              <w:rPr>
                <w:sz w:val="16"/>
                <w:szCs w:val="16"/>
                <w:color w:val="auto"/>
              </w:rPr>
            </w:pPr>
          </w:p>
        </w:tc>
        <w:tc>
          <w:tcPr>
            <w:tcW w:w="240" w:type="dxa"/>
            <w:vAlign w:val="bottom"/>
            <w:tcBorders>
              <w:top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6"/>
                <w:szCs w:val="16"/>
                <w:color w:val="auto"/>
                <w:w w:val="99"/>
              </w:rPr>
              <w:t>25.1</w:t>
            </w:r>
          </w:p>
        </w:tc>
        <w:tc>
          <w:tcPr>
            <w:tcW w:w="160" w:type="dxa"/>
            <w:vAlign w:val="bottom"/>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157861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78610" cy="7620"/>
                    </a:xfrm>
                    <a:prstGeom prst="rect">
                      <a:avLst/>
                    </a:prstGeom>
                    <a:noFill/>
                  </pic:spPr>
                </pic:pic>
              </a:graphicData>
            </a:graphic>
          </wp:anchor>
        </w:drawing>
      </w:r>
    </w:p>
    <w:p>
      <w:pPr>
        <w:spacing w:after="0" w:line="134" w:lineRule="exact"/>
        <w:rPr>
          <w:sz w:val="20"/>
          <w:szCs w:val="20"/>
          <w:color w:val="auto"/>
        </w:rPr>
      </w:pPr>
    </w:p>
    <w:p>
      <w:pPr>
        <w:ind w:left="285" w:hanging="285"/>
        <w:spacing w:after="0"/>
        <w:tabs>
          <w:tab w:leader="none" w:pos="285"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new brokerage assets consist of total client deposits less client withdrawals from brokerage accounts, plus dividends, plus interest.</w:t>
      </w:r>
    </w:p>
    <w:p>
      <w:pPr>
        <w:spacing w:after="0" w:line="18" w:lineRule="exact"/>
        <w:rPr>
          <w:rFonts w:ascii="Times New Roman" w:cs="Times New Roman" w:eastAsia="Times New Roman" w:hAnsi="Times New Roman"/>
          <w:sz w:val="16"/>
          <w:szCs w:val="16"/>
          <w:color w:val="auto"/>
        </w:rPr>
      </w:pPr>
    </w:p>
    <w:p>
      <w:pPr>
        <w:ind w:left="285" w:right="20" w:hanging="285"/>
        <w:spacing w:after="0" w:line="247" w:lineRule="auto"/>
        <w:tabs>
          <w:tab w:leader="none" w:pos="285"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impact is the difference between the beginning and ending asset balances less the net new asset amounts, representing the implied growth or decline in asset balances due to market change over the same period of time.</w:t>
      </w:r>
    </w:p>
    <w:p>
      <w:pPr>
        <w:spacing w:after="0" w:line="16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Advisory Fees</w:t>
      </w:r>
    </w:p>
    <w:p>
      <w:pPr>
        <w:spacing w:after="0" w:line="191" w:lineRule="exact"/>
        <w:rPr>
          <w:sz w:val="20"/>
          <w:szCs w:val="20"/>
          <w:color w:val="auto"/>
        </w:rPr>
      </w:pPr>
    </w:p>
    <w:p>
      <w:pPr>
        <w:jc w:val="both"/>
        <w:ind w:left="5" w:right="20"/>
        <w:spacing w:after="0" w:line="251" w:lineRule="auto"/>
        <w:rPr>
          <w:sz w:val="20"/>
          <w:szCs w:val="20"/>
          <w:color w:val="auto"/>
        </w:rPr>
      </w:pPr>
      <w:r>
        <w:rPr>
          <w:rFonts w:ascii="Times New Roman" w:cs="Times New Roman" w:eastAsia="Times New Roman" w:hAnsi="Times New Roman"/>
          <w:sz w:val="16"/>
          <w:szCs w:val="16"/>
          <w:color w:val="auto"/>
        </w:rPr>
        <w:t>Advisory fees represent fees charged to advisors’ clients’ accounts on the Company’s corporate advisory platform. The Company provides ongoing investment advice, brokerage and execution services on transactions, and performs administrative services for these accounts. These fees are recognized ratably over time to match the continued delivery of the performance obligations to the client over the life of the contract. The advisory fees generated from the Company’s corporate advisory platform are based on a percentage of the market value of the eligible assets in the clients’ advisory accounts.</w:t>
      </w:r>
    </w:p>
    <w:p>
      <w:pPr>
        <w:spacing w:after="0" w:line="164" w:lineRule="exact"/>
        <w:rPr>
          <w:sz w:val="20"/>
          <w:szCs w:val="20"/>
          <w:color w:val="auto"/>
        </w:rPr>
      </w:pPr>
    </w:p>
    <w:p>
      <w:pPr>
        <w:jc w:val="both"/>
        <w:ind w:left="5" w:right="20"/>
        <w:spacing w:after="0" w:line="267" w:lineRule="auto"/>
        <w:rPr>
          <w:sz w:val="20"/>
          <w:szCs w:val="20"/>
          <w:color w:val="auto"/>
        </w:rPr>
      </w:pPr>
      <w:r>
        <w:rPr>
          <w:rFonts w:ascii="Times New Roman" w:cs="Times New Roman" w:eastAsia="Times New Roman" w:hAnsi="Times New Roman"/>
          <w:sz w:val="16"/>
          <w:szCs w:val="16"/>
          <w:color w:val="auto"/>
        </w:rPr>
        <w:t>Advisory fees increased by approximately 4.9% and 12.8% for the three and six month periods ended June 30, 2025, respectively, as compared to the same period in June 30, 2024, due to positive returns in the market from the period of June 30, 2024 to the period ending June 30, 2025.</w:t>
      </w:r>
    </w:p>
    <w:p>
      <w:pPr>
        <w:spacing w:after="0" w:line="15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following tables summarizes the advisory assets as of June 30, 2025 and 2024 (in billions):</w:t>
      </w:r>
    </w:p>
    <w:p>
      <w:pPr>
        <w:spacing w:after="0" w:line="196" w:lineRule="exact"/>
        <w:rPr>
          <w:sz w:val="20"/>
          <w:szCs w:val="20"/>
          <w:color w:val="auto"/>
        </w:rPr>
      </w:pPr>
    </w:p>
    <w:p>
      <w:pPr>
        <w:jc w:val="center"/>
        <w:ind w:left="7560"/>
        <w:spacing w:after="0"/>
        <w:rPr>
          <w:sz w:val="20"/>
          <w:szCs w:val="20"/>
          <w:color w:val="auto"/>
        </w:rPr>
      </w:pPr>
      <w:r>
        <w:rPr>
          <w:rFonts w:ascii="Times New Roman" w:cs="Times New Roman" w:eastAsia="Times New Roman" w:hAnsi="Times New Roman"/>
          <w:sz w:val="12"/>
          <w:szCs w:val="12"/>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4818380</wp:posOffset>
            </wp:positionH>
            <wp:positionV relativeFrom="paragraph">
              <wp:posOffset>7620</wp:posOffset>
            </wp:positionV>
            <wp:extent cx="148971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89710" cy="7620"/>
                    </a:xfrm>
                    <a:prstGeom prst="rect">
                      <a:avLst/>
                    </a:prstGeom>
                    <a:noFill/>
                  </pic:spPr>
                </pic:pic>
              </a:graphicData>
            </a:graphic>
          </wp:anchor>
        </w:drawing>
      </w:r>
    </w:p>
    <w:p>
      <w:pPr>
        <w:ind w:left="7985"/>
        <w:spacing w:after="0"/>
        <w:tabs>
          <w:tab w:leader="none" w:pos="9244" w:val="left"/>
        </w:tabs>
        <w:rPr>
          <w:sz w:val="20"/>
          <w:szCs w:val="20"/>
          <w:color w:val="auto"/>
        </w:rPr>
      </w:pPr>
      <w:r>
        <w:rPr>
          <w:rFonts w:ascii="Times New Roman" w:cs="Times New Roman" w:eastAsia="Times New Roman" w:hAnsi="Times New Roman"/>
          <w:sz w:val="12"/>
          <w:szCs w:val="12"/>
          <w:b w:val="1"/>
          <w:bCs w:val="1"/>
          <w:color w:val="auto"/>
        </w:rPr>
        <w:t>2025</w:t>
      </w:r>
      <w:r>
        <w:rPr>
          <w:sz w:val="20"/>
          <w:szCs w:val="20"/>
          <w:color w:val="auto"/>
        </w:rPr>
        <w:tab/>
      </w:r>
      <w:r>
        <w:rPr>
          <w:rFonts w:ascii="Times New Roman" w:cs="Times New Roman" w:eastAsia="Times New Roman" w:hAnsi="Times New Roman"/>
          <w:sz w:val="12"/>
          <w:szCs w:val="12"/>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306185" cy="1257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06185" cy="125730"/>
                    </a:xfrm>
                    <a:prstGeom prst="rect">
                      <a:avLst/>
                    </a:prstGeom>
                    <a:noFill/>
                  </pic:spPr>
                </pic:pic>
              </a:graphicData>
            </a:graphic>
          </wp:anchor>
        </w:drawing>
      </w:r>
    </w:p>
    <w:p>
      <w:pPr>
        <w:ind w:left="5"/>
        <w:spacing w:after="0"/>
        <w:tabs>
          <w:tab w:leader="none" w:pos="7564" w:val="left"/>
          <w:tab w:leader="none" w:pos="8384" w:val="left"/>
          <w:tab w:leader="none" w:pos="8844" w:val="left"/>
          <w:tab w:leader="none" w:pos="9664" w:val="left"/>
        </w:tabs>
        <w:rPr>
          <w:sz w:val="20"/>
          <w:szCs w:val="20"/>
          <w:color w:val="auto"/>
        </w:rPr>
      </w:pPr>
      <w:r>
        <w:rPr>
          <w:rFonts w:ascii="Times New Roman" w:cs="Times New Roman" w:eastAsia="Times New Roman" w:hAnsi="Times New Roman"/>
          <w:sz w:val="16"/>
          <w:szCs w:val="16"/>
          <w:color w:val="auto"/>
        </w:rPr>
        <w:t>Advisory Assets</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2.7</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2.3</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308610</wp:posOffset>
            </wp:positionV>
            <wp:extent cx="6306185" cy="222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06185" cy="22225"/>
                    </a:xfrm>
                    <a:prstGeom prst="rect">
                      <a:avLst/>
                    </a:prstGeom>
                    <a:noFill/>
                  </pic:spPr>
                </pic:pic>
              </a:graphicData>
            </a:graphic>
          </wp:anchor>
        </w:drawing>
      </w:r>
    </w:p>
    <w:p>
      <w:pPr>
        <w:sectPr>
          <w:pgSz w:w="11900" w:h="16838" w:orient="portrait"/>
          <w:cols w:equalWidth="0" w:num="1">
            <w:col w:w="9945"/>
          </w:cols>
          <w:pgMar w:left="975" w:top="461" w:right="979" w:bottom="1440" w:gutter="0" w:footer="0" w:header="0"/>
        </w:sectPr>
      </w:pPr>
    </w:p>
    <w:bookmarkStart w:id="32" w:name="page33"/>
    <w:bookmarkEnd w:id="32"/>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following table summarizes activity impacting advisory assets for the periods ended (in billions):</w:t>
      </w:r>
    </w:p>
    <w:p>
      <w:pPr>
        <w:spacing w:after="0" w:line="196" w:lineRule="exact"/>
        <w:rPr>
          <w:sz w:val="20"/>
          <w:szCs w:val="20"/>
          <w:color w:val="auto"/>
        </w:rPr>
      </w:pPr>
    </w:p>
    <w:tbl>
      <w:tblPr>
        <w:tblLayout w:type="fixed"/>
        <w:tblInd w:w="5" w:type="dxa"/>
        <w:tblCellMar>
          <w:top w:w="0" w:type="dxa"/>
          <w:left w:w="0" w:type="dxa"/>
          <w:bottom w:w="0" w:type="dxa"/>
          <w:right w:w="0" w:type="dxa"/>
        </w:tblCellMar>
      </w:tblPr>
      <w:tr>
        <w:trPr>
          <w:trHeight w:val="150"/>
        </w:trPr>
        <w:tc>
          <w:tcPr>
            <w:tcW w:w="35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Net Flows-Advisory Assets</w:t>
            </w:r>
          </w:p>
        </w:tc>
        <w:tc>
          <w:tcPr>
            <w:tcW w:w="17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4"/>
          </w:tcPr>
          <w:p>
            <w:pPr>
              <w:jc w:val="right"/>
              <w:ind w:right="105"/>
              <w:spacing w:after="0"/>
              <w:rPr>
                <w:sz w:val="20"/>
                <w:szCs w:val="20"/>
                <w:color w:val="auto"/>
              </w:rPr>
            </w:pPr>
            <w:r>
              <w:rPr>
                <w:rFonts w:ascii="Times New Roman" w:cs="Times New Roman" w:eastAsia="Times New Roman" w:hAnsi="Times New Roman"/>
                <w:sz w:val="12"/>
                <w:szCs w:val="12"/>
                <w:b w:val="1"/>
                <w:bCs w:val="1"/>
                <w:color w:val="auto"/>
              </w:rPr>
              <w:t>For the three months ended June 30,</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4"/>
          </w:tcPr>
          <w:p>
            <w:pPr>
              <w:jc w:val="right"/>
              <w:ind w:right="125"/>
              <w:spacing w:after="0"/>
              <w:rPr>
                <w:sz w:val="20"/>
                <w:szCs w:val="20"/>
                <w:color w:val="auto"/>
              </w:rPr>
            </w:pPr>
            <w:r>
              <w:rPr>
                <w:rFonts w:ascii="Times New Roman" w:cs="Times New Roman" w:eastAsia="Times New Roman" w:hAnsi="Times New Roman"/>
                <w:sz w:val="12"/>
                <w:szCs w:val="12"/>
                <w:b w:val="1"/>
                <w:bCs w:val="1"/>
                <w:color w:val="auto"/>
              </w:rPr>
              <w:t>For the six months ended June 30,</w:t>
            </w:r>
          </w:p>
        </w:tc>
        <w:tc>
          <w:tcPr>
            <w:tcW w:w="0" w:type="dxa"/>
            <w:vAlign w:val="bottom"/>
          </w:tcPr>
          <w:p>
            <w:pPr>
              <w:spacing w:after="0"/>
              <w:rPr>
                <w:sz w:val="1"/>
                <w:szCs w:val="1"/>
                <w:color w:val="auto"/>
              </w:rPr>
            </w:pPr>
          </w:p>
        </w:tc>
      </w:tr>
      <w:tr>
        <w:trPr>
          <w:trHeight w:val="120"/>
        </w:trPr>
        <w:tc>
          <w:tcPr>
            <w:tcW w:w="3580" w:type="dxa"/>
            <w:vAlign w:val="bottom"/>
            <w:tcBorders>
              <w:bottom w:val="single" w:sz="8" w:color="CCEEFF"/>
            </w:tcBorders>
            <w:vMerge w:val="continue"/>
          </w:tcPr>
          <w:p>
            <w:pPr>
              <w:spacing w:after="0"/>
              <w:rPr>
                <w:sz w:val="10"/>
                <w:szCs w:val="10"/>
                <w:color w:val="auto"/>
              </w:rPr>
            </w:pPr>
          </w:p>
        </w:tc>
        <w:tc>
          <w:tcPr>
            <w:tcW w:w="174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327"/>
              <w:spacing w:after="0" w:line="120" w:lineRule="exact"/>
              <w:rPr>
                <w:sz w:val="20"/>
                <w:szCs w:val="20"/>
                <w:color w:val="auto"/>
              </w:rPr>
            </w:pPr>
            <w:r>
              <w:rPr>
                <w:rFonts w:ascii="Times New Roman" w:cs="Times New Roman" w:eastAsia="Times New Roman" w:hAnsi="Times New Roman"/>
                <w:sz w:val="12"/>
                <w:szCs w:val="12"/>
                <w:b w:val="1"/>
                <w:bCs w:val="1"/>
                <w:color w:val="auto"/>
              </w:rPr>
              <w:t>2025</w:t>
            </w:r>
          </w:p>
        </w:tc>
        <w:tc>
          <w:tcPr>
            <w:tcW w:w="1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25"/>
              <w:spacing w:after="0" w:line="120" w:lineRule="exact"/>
              <w:rPr>
                <w:sz w:val="20"/>
                <w:szCs w:val="20"/>
                <w:color w:val="auto"/>
              </w:rPr>
            </w:pPr>
            <w:r>
              <w:rPr>
                <w:rFonts w:ascii="Times New Roman" w:cs="Times New Roman" w:eastAsia="Times New Roman" w:hAnsi="Times New Roman"/>
                <w:sz w:val="12"/>
                <w:szCs w:val="12"/>
                <w:b w:val="1"/>
                <w:bCs w:val="1"/>
                <w:color w:val="auto"/>
              </w:rPr>
              <w:t>2024</w:t>
            </w:r>
          </w:p>
        </w:tc>
        <w:tc>
          <w:tcPr>
            <w:tcW w:w="14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07"/>
              <w:spacing w:after="0" w:line="120" w:lineRule="exact"/>
              <w:rPr>
                <w:sz w:val="20"/>
                <w:szCs w:val="20"/>
                <w:color w:val="auto"/>
              </w:rPr>
            </w:pPr>
            <w:r>
              <w:rPr>
                <w:rFonts w:ascii="Times New Roman" w:cs="Times New Roman" w:eastAsia="Times New Roman" w:hAnsi="Times New Roman"/>
                <w:sz w:val="12"/>
                <w:szCs w:val="12"/>
                <w:b w:val="1"/>
                <w:bCs w:val="1"/>
                <w:color w:val="auto"/>
              </w:rPr>
              <w:t>2025</w:t>
            </w:r>
          </w:p>
        </w:tc>
        <w:tc>
          <w:tcPr>
            <w:tcW w:w="18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05"/>
              <w:spacing w:after="0" w:line="120" w:lineRule="exact"/>
              <w:rPr>
                <w:sz w:val="20"/>
                <w:szCs w:val="20"/>
                <w:color w:val="auto"/>
              </w:rPr>
            </w:pPr>
            <w:r>
              <w:rPr>
                <w:rFonts w:ascii="Times New Roman" w:cs="Times New Roman" w:eastAsia="Times New Roman" w:hAnsi="Times New Roman"/>
                <w:sz w:val="12"/>
                <w:szCs w:val="12"/>
                <w:b w:val="1"/>
                <w:bCs w:val="1"/>
                <w:color w:val="auto"/>
              </w:rPr>
              <w:t>2024</w:t>
            </w:r>
          </w:p>
        </w:tc>
        <w:tc>
          <w:tcPr>
            <w:tcW w:w="0" w:type="dxa"/>
            <w:vAlign w:val="bottom"/>
          </w:tcPr>
          <w:p>
            <w:pPr>
              <w:spacing w:after="0"/>
              <w:rPr>
                <w:sz w:val="1"/>
                <w:szCs w:val="1"/>
                <w:color w:val="auto"/>
              </w:rPr>
            </w:pPr>
          </w:p>
        </w:tc>
      </w:tr>
      <w:tr>
        <w:trPr>
          <w:trHeight w:val="178"/>
        </w:trPr>
        <w:tc>
          <w:tcPr>
            <w:tcW w:w="358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Balance – beginning of period</w:t>
            </w:r>
          </w:p>
        </w:tc>
        <w:tc>
          <w:tcPr>
            <w:tcW w:w="17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2.5</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2.2</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2.5</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187"/>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Net new brokerage assets(1)</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42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187"/>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Market impact(2)</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4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194"/>
        </w:trPr>
        <w:tc>
          <w:tcPr>
            <w:tcW w:w="358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Balance – End of period</w:t>
            </w:r>
          </w:p>
        </w:tc>
        <w:tc>
          <w:tcPr>
            <w:tcW w:w="174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80" w:type="dxa"/>
            <w:vAlign w:val="bottom"/>
          </w:tcPr>
          <w:p>
            <w:pPr>
              <w:spacing w:after="0"/>
              <w:rPr>
                <w:sz w:val="16"/>
                <w:szCs w:val="16"/>
                <w:color w:val="auto"/>
              </w:rPr>
            </w:pPr>
          </w:p>
        </w:tc>
        <w:tc>
          <w:tcPr>
            <w:tcW w:w="240" w:type="dxa"/>
            <w:vAlign w:val="bottom"/>
            <w:tcBorders>
              <w:top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80" w:type="dxa"/>
            <w:vAlign w:val="bottom"/>
          </w:tcPr>
          <w:p>
            <w:pPr>
              <w:spacing w:after="0"/>
              <w:rPr>
                <w:sz w:val="16"/>
                <w:szCs w:val="16"/>
                <w:color w:val="auto"/>
              </w:rPr>
            </w:pPr>
          </w:p>
        </w:tc>
        <w:tc>
          <w:tcPr>
            <w:tcW w:w="22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157861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78610" cy="7620"/>
                    </a:xfrm>
                    <a:prstGeom prst="rect">
                      <a:avLst/>
                    </a:prstGeom>
                    <a:noFill/>
                  </pic:spPr>
                </pic:pic>
              </a:graphicData>
            </a:graphic>
          </wp:anchor>
        </w:drawing>
      </w:r>
    </w:p>
    <w:p>
      <w:pPr>
        <w:spacing w:after="0" w:line="134" w:lineRule="exact"/>
        <w:rPr>
          <w:sz w:val="20"/>
          <w:szCs w:val="20"/>
          <w:color w:val="auto"/>
        </w:rPr>
      </w:pPr>
    </w:p>
    <w:p>
      <w:pPr>
        <w:ind w:left="285" w:hanging="285"/>
        <w:spacing w:after="0"/>
        <w:tabs>
          <w:tab w:leader="none" w:pos="285"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new advisory assets consist of total client deposits less client withdrawals from custodial accounts, plus dividends, plus interest, minus advisory fees.</w:t>
      </w:r>
    </w:p>
    <w:p>
      <w:pPr>
        <w:spacing w:after="0" w:line="41" w:lineRule="exact"/>
        <w:rPr>
          <w:rFonts w:ascii="Times New Roman" w:cs="Times New Roman" w:eastAsia="Times New Roman" w:hAnsi="Times New Roman"/>
          <w:sz w:val="14"/>
          <w:szCs w:val="14"/>
          <w:color w:val="auto"/>
        </w:rPr>
      </w:pPr>
    </w:p>
    <w:p>
      <w:pPr>
        <w:ind w:left="285" w:right="20" w:hanging="285"/>
        <w:spacing w:after="0" w:line="247" w:lineRule="auto"/>
        <w:tabs>
          <w:tab w:leader="none" w:pos="285"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impact is the difference between the beginning and ending asset balances less the net new asset amounts, representing the implied growth or decline in asset balances due to market change over the same period of time.</w:t>
      </w:r>
    </w:p>
    <w:p>
      <w:pPr>
        <w:spacing w:after="0" w:line="16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Interest and other income</w:t>
      </w:r>
    </w:p>
    <w:p>
      <w:pPr>
        <w:spacing w:after="0" w:line="191" w:lineRule="exact"/>
        <w:rPr>
          <w:sz w:val="20"/>
          <w:szCs w:val="20"/>
          <w:color w:val="auto"/>
        </w:rPr>
      </w:pPr>
    </w:p>
    <w:p>
      <w:pPr>
        <w:jc w:val="both"/>
        <w:ind w:left="5"/>
        <w:spacing w:after="0" w:line="255" w:lineRule="auto"/>
        <w:rPr>
          <w:sz w:val="20"/>
          <w:szCs w:val="20"/>
          <w:color w:val="auto"/>
        </w:rPr>
      </w:pPr>
      <w:r>
        <w:rPr>
          <w:rFonts w:ascii="Times New Roman" w:cs="Times New Roman" w:eastAsia="Times New Roman" w:hAnsi="Times New Roman"/>
          <w:sz w:val="16"/>
          <w:szCs w:val="16"/>
          <w:color w:val="auto"/>
        </w:rPr>
        <w:t>Interest income includes amounts earned on balances held at the Company’s clearing brokers related to cash balances and margin balances. The Company’s clearing agreements include provisions that provide for a sharing of the interest income earned on such balances with the clearing brokers. The rate varies based on the clearing broker.</w:t>
      </w:r>
    </w:p>
    <w:p>
      <w:pPr>
        <w:spacing w:after="0" w:line="160" w:lineRule="exact"/>
        <w:rPr>
          <w:sz w:val="20"/>
          <w:szCs w:val="20"/>
          <w:color w:val="auto"/>
        </w:rPr>
      </w:pPr>
    </w:p>
    <w:p>
      <w:pPr>
        <w:jc w:val="both"/>
        <w:ind w:left="5" w:right="20"/>
        <w:spacing w:after="0" w:line="267" w:lineRule="auto"/>
        <w:rPr>
          <w:sz w:val="20"/>
          <w:szCs w:val="20"/>
          <w:color w:val="auto"/>
        </w:rPr>
      </w:pPr>
      <w:r>
        <w:rPr>
          <w:rFonts w:ascii="Times New Roman" w:cs="Times New Roman" w:eastAsia="Times New Roman" w:hAnsi="Times New Roman"/>
          <w:sz w:val="16"/>
          <w:szCs w:val="16"/>
          <w:color w:val="auto"/>
        </w:rPr>
        <w:t>Other income primarily includes amounts earned by the Company related to marketing and incentives earned from the sales of certain investment products by the financial advisors to its clients, primarily alternative investments, as well as sponsorship income.</w:t>
      </w:r>
    </w:p>
    <w:p>
      <w:pPr>
        <w:spacing w:after="0" w:line="151" w:lineRule="exact"/>
        <w:rPr>
          <w:sz w:val="20"/>
          <w:szCs w:val="20"/>
          <w:color w:val="auto"/>
        </w:rPr>
      </w:pPr>
    </w:p>
    <w:p>
      <w:pPr>
        <w:jc w:val="both"/>
        <w:ind w:left="5" w:right="20"/>
        <w:spacing w:after="0" w:line="255" w:lineRule="auto"/>
        <w:rPr>
          <w:sz w:val="20"/>
          <w:szCs w:val="20"/>
          <w:color w:val="auto"/>
        </w:rPr>
      </w:pPr>
      <w:r>
        <w:rPr>
          <w:rFonts w:ascii="Times New Roman" w:cs="Times New Roman" w:eastAsia="Times New Roman" w:hAnsi="Times New Roman"/>
          <w:sz w:val="16"/>
          <w:szCs w:val="16"/>
          <w:color w:val="auto"/>
        </w:rPr>
        <w:t>The increase in interest and other income for the three month period ended June 30, 2025, compared to 2024 is primarily related to the increase in the interest income shared with the Company’s clearing brokers. The decrease in interest and other income for the six-month period ended June 30, 2025 is primarily related to a non-recurring income item that was earned during the same period in 2024.</w:t>
      </w:r>
    </w:p>
    <w:p>
      <w:pPr>
        <w:spacing w:after="0" w:line="15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p>
      <w:pPr>
        <w:spacing w:after="0" w:line="18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Commissions and Fees</w:t>
      </w:r>
    </w:p>
    <w:p>
      <w:pPr>
        <w:spacing w:after="0" w:line="191" w:lineRule="exact"/>
        <w:rPr>
          <w:sz w:val="20"/>
          <w:szCs w:val="20"/>
          <w:color w:val="auto"/>
        </w:rPr>
      </w:pPr>
    </w:p>
    <w:p>
      <w:pPr>
        <w:jc w:val="both"/>
        <w:ind w:left="5"/>
        <w:spacing w:after="0" w:line="247" w:lineRule="auto"/>
        <w:rPr>
          <w:sz w:val="20"/>
          <w:szCs w:val="20"/>
          <w:color w:val="auto"/>
        </w:rPr>
      </w:pPr>
      <w:r>
        <w:rPr>
          <w:rFonts w:ascii="Times New Roman" w:cs="Times New Roman" w:eastAsia="Times New Roman" w:hAnsi="Times New Roman"/>
          <w:sz w:val="16"/>
          <w:szCs w:val="16"/>
          <w:color w:val="auto"/>
        </w:rPr>
        <w:t>Commissions and fees primarily consist of commissions paid to the financial advisors, technology costs associated with the platform for which the financial advisors operate their business, insurance costs and regulatory costs. Certain of the technology, insurance and regulatory costs are passed through to the financial advisors and any excess costs are included as fees within commissions and fees. The commissions and fees paid to the financial advisors are based on the advisory and commission revenue earned on each client’s account. The payout amount is production based, which is the gross revenue produced by the financial advisor, and varies based on the level of such production ranging from 50% to 95% of the revenue generated. The production levels begin at gross revenue of $15,000 up to $4,000,000 and up, and the payout rate starts at 50% and increases to a top payout rate of 94% for annual production of $4,000,000 and up.</w:t>
      </w:r>
    </w:p>
    <w:p>
      <w:pPr>
        <w:spacing w:after="0" w:line="133" w:lineRule="exact"/>
        <w:rPr>
          <w:sz w:val="20"/>
          <w:szCs w:val="20"/>
          <w:color w:val="auto"/>
        </w:rPr>
      </w:pPr>
    </w:p>
    <w:p>
      <w:pPr>
        <w:jc w:val="both"/>
        <w:ind w:left="5" w:right="20"/>
        <w:spacing w:after="0" w:line="267" w:lineRule="auto"/>
        <w:rPr>
          <w:sz w:val="20"/>
          <w:szCs w:val="20"/>
          <w:color w:val="auto"/>
        </w:rPr>
      </w:pPr>
      <w:r>
        <w:rPr>
          <w:rFonts w:ascii="Times New Roman" w:cs="Times New Roman" w:eastAsia="Times New Roman" w:hAnsi="Times New Roman"/>
          <w:sz w:val="16"/>
          <w:szCs w:val="16"/>
          <w:color w:val="auto"/>
        </w:rPr>
        <w:t>The following table sets forth our payout rate, which is a statistical or operating measure and monitored to review that such costs of revenue remain consistent on a period over period basis:</w:t>
      </w:r>
    </w:p>
    <w:p>
      <w:pPr>
        <w:spacing w:after="0" w:line="157" w:lineRule="exact"/>
        <w:rPr>
          <w:sz w:val="20"/>
          <w:szCs w:val="20"/>
          <w:color w:val="auto"/>
        </w:rPr>
      </w:pPr>
    </w:p>
    <w:tbl>
      <w:tblPr>
        <w:tblLayout w:type="fixed"/>
        <w:tblInd w:w="5" w:type="dxa"/>
        <w:tblCellMar>
          <w:top w:w="0" w:type="dxa"/>
          <w:left w:w="0" w:type="dxa"/>
          <w:bottom w:w="0" w:type="dxa"/>
          <w:right w:w="0" w:type="dxa"/>
        </w:tblCellMar>
      </w:tblPr>
      <w:tr>
        <w:trPr>
          <w:trHeight w:val="150"/>
        </w:trPr>
        <w:tc>
          <w:tcPr>
            <w:tcW w:w="5620" w:type="dxa"/>
            <w:vAlign w:val="bottom"/>
          </w:tcPr>
          <w:p>
            <w:pPr>
              <w:spacing w:after="0"/>
              <w:rPr>
                <w:sz w:val="13"/>
                <w:szCs w:val="13"/>
                <w:color w:val="auto"/>
              </w:rPr>
            </w:pPr>
          </w:p>
        </w:tc>
        <w:tc>
          <w:tcPr>
            <w:tcW w:w="23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For the three months ended June 30,</w:t>
            </w:r>
          </w:p>
        </w:tc>
        <w:tc>
          <w:tcPr>
            <w:tcW w:w="4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vMerge w:val="restart"/>
          </w:tcPr>
          <w:p>
            <w:pPr>
              <w:jc w:val="right"/>
              <w:ind w:right="422"/>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0" w:type="dxa"/>
            <w:vAlign w:val="bottom"/>
          </w:tcPr>
          <w:p>
            <w:pPr>
              <w:spacing w:after="0"/>
              <w:rPr>
                <w:sz w:val="1"/>
                <w:szCs w:val="1"/>
                <w:color w:val="auto"/>
              </w:rPr>
            </w:pPr>
          </w:p>
        </w:tc>
      </w:tr>
      <w:tr>
        <w:trPr>
          <w:trHeight w:val="120"/>
        </w:trPr>
        <w:tc>
          <w:tcPr>
            <w:tcW w:w="5620" w:type="dxa"/>
            <w:vAlign w:val="bottom"/>
          </w:tcPr>
          <w:p>
            <w:pPr>
              <w:spacing w:after="0"/>
              <w:rPr>
                <w:sz w:val="10"/>
                <w:szCs w:val="10"/>
                <w:color w:val="auto"/>
              </w:rPr>
            </w:pPr>
          </w:p>
        </w:tc>
        <w:tc>
          <w:tcPr>
            <w:tcW w:w="820" w:type="dxa"/>
            <w:vAlign w:val="bottom"/>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2025</w:t>
            </w:r>
          </w:p>
        </w:tc>
        <w:tc>
          <w:tcPr>
            <w:tcW w:w="1560" w:type="dxa"/>
            <w:vAlign w:val="bottom"/>
            <w:gridSpan w:val="3"/>
          </w:tcPr>
          <w:p>
            <w:pPr>
              <w:jc w:val="right"/>
              <w:ind w:right="100"/>
              <w:spacing w:after="0" w:line="120" w:lineRule="exact"/>
              <w:rPr>
                <w:sz w:val="20"/>
                <w:szCs w:val="20"/>
                <w:color w:val="auto"/>
              </w:rPr>
            </w:pPr>
            <w:r>
              <w:rPr>
                <w:rFonts w:ascii="Times New Roman" w:cs="Times New Roman" w:eastAsia="Times New Roman" w:hAnsi="Times New Roman"/>
                <w:sz w:val="12"/>
                <w:szCs w:val="12"/>
                <w:b w:val="1"/>
                <w:bCs w:val="1"/>
                <w:color w:val="auto"/>
              </w:rPr>
              <w:t>2024</w:t>
            </w: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562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Payout range</w:t>
            </w:r>
          </w:p>
        </w:tc>
        <w:tc>
          <w:tcPr>
            <w:tcW w:w="8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80.59</w:t>
            </w:r>
          </w:p>
        </w:tc>
        <w:tc>
          <w:tcPr>
            <w:tcW w:w="240" w:type="dxa"/>
            <w:vAlign w:val="bottom"/>
            <w:tcBorders>
              <w:top w:val="single" w:sz="8" w:color="CCEEFF"/>
            </w:tcBorders>
            <w:shd w:val="clear" w:color="auto" w:fill="CCEEFF"/>
          </w:tcPr>
          <w:p>
            <w:pPr>
              <w:jc w:val="right"/>
              <w:ind w:right="4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94"/>
              </w:rPr>
              <w:t>83.42</w:t>
            </w:r>
          </w:p>
        </w:tc>
        <w:tc>
          <w:tcPr>
            <w:tcW w:w="240" w:type="dxa"/>
            <w:vAlign w:val="bottom"/>
            <w:tcBorders>
              <w:top w:val="single" w:sz="8" w:color="CCEEFF"/>
            </w:tcBorders>
            <w:shd w:val="clear" w:color="auto" w:fill="CCEEFF"/>
          </w:tcPr>
          <w:p>
            <w:pPr>
              <w:jc w:val="right"/>
              <w:ind w:right="4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2.82</w:t>
            </w:r>
          </w:p>
        </w:tc>
        <w:tc>
          <w:tcPr>
            <w:tcW w:w="140" w:type="dxa"/>
            <w:vAlign w:val="bottom"/>
            <w:tcBorders>
              <w:top w:val="single" w:sz="8" w:color="CCEEFF"/>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7"/>
        </w:trPr>
        <w:tc>
          <w:tcPr>
            <w:tcW w:w="5620" w:type="dxa"/>
            <w:vAlign w:val="bottom"/>
          </w:tcPr>
          <w:p>
            <w:pPr>
              <w:spacing w:after="0"/>
              <w:rPr>
                <w:sz w:val="22"/>
                <w:szCs w:val="22"/>
                <w:color w:val="auto"/>
              </w:rPr>
            </w:pPr>
          </w:p>
        </w:tc>
        <w:tc>
          <w:tcPr>
            <w:tcW w:w="23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For the six months ended June 30,</w:t>
            </w:r>
          </w:p>
        </w:tc>
        <w:tc>
          <w:tcPr>
            <w:tcW w:w="42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vMerge w:val="restart"/>
          </w:tcPr>
          <w:p>
            <w:pPr>
              <w:jc w:val="right"/>
              <w:ind w:right="422"/>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0" w:type="dxa"/>
            <w:vAlign w:val="bottom"/>
          </w:tcPr>
          <w:p>
            <w:pPr>
              <w:spacing w:after="0"/>
              <w:rPr>
                <w:sz w:val="1"/>
                <w:szCs w:val="1"/>
                <w:color w:val="auto"/>
              </w:rPr>
            </w:pPr>
          </w:p>
        </w:tc>
      </w:tr>
      <w:tr>
        <w:trPr>
          <w:trHeight w:val="120"/>
        </w:trPr>
        <w:tc>
          <w:tcPr>
            <w:tcW w:w="5620" w:type="dxa"/>
            <w:vAlign w:val="bottom"/>
          </w:tcPr>
          <w:p>
            <w:pPr>
              <w:spacing w:after="0"/>
              <w:rPr>
                <w:sz w:val="10"/>
                <w:szCs w:val="10"/>
                <w:color w:val="auto"/>
              </w:rPr>
            </w:pPr>
          </w:p>
        </w:tc>
        <w:tc>
          <w:tcPr>
            <w:tcW w:w="820" w:type="dxa"/>
            <w:vAlign w:val="bottom"/>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2025</w:t>
            </w:r>
          </w:p>
        </w:tc>
        <w:tc>
          <w:tcPr>
            <w:tcW w:w="1560" w:type="dxa"/>
            <w:vAlign w:val="bottom"/>
            <w:gridSpan w:val="3"/>
          </w:tcPr>
          <w:p>
            <w:pPr>
              <w:jc w:val="right"/>
              <w:ind w:right="100"/>
              <w:spacing w:after="0" w:line="120" w:lineRule="exact"/>
              <w:rPr>
                <w:sz w:val="20"/>
                <w:szCs w:val="20"/>
                <w:color w:val="auto"/>
              </w:rPr>
            </w:pPr>
            <w:r>
              <w:rPr>
                <w:rFonts w:ascii="Times New Roman" w:cs="Times New Roman" w:eastAsia="Times New Roman" w:hAnsi="Times New Roman"/>
                <w:sz w:val="12"/>
                <w:szCs w:val="12"/>
                <w:b w:val="1"/>
                <w:bCs w:val="1"/>
                <w:color w:val="auto"/>
              </w:rPr>
              <w:t>2024</w:t>
            </w: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562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Payout range</w:t>
            </w:r>
          </w:p>
        </w:tc>
        <w:tc>
          <w:tcPr>
            <w:tcW w:w="8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82.36</w:t>
            </w:r>
          </w:p>
        </w:tc>
        <w:tc>
          <w:tcPr>
            <w:tcW w:w="240" w:type="dxa"/>
            <w:vAlign w:val="bottom"/>
            <w:tcBorders>
              <w:top w:val="single" w:sz="8" w:color="CCEEFF"/>
            </w:tcBorders>
            <w:shd w:val="clear" w:color="auto" w:fill="CCEEFF"/>
          </w:tcPr>
          <w:p>
            <w:pPr>
              <w:jc w:val="right"/>
              <w:ind w:right="4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94"/>
              </w:rPr>
              <w:t>83.69</w:t>
            </w:r>
          </w:p>
        </w:tc>
        <w:tc>
          <w:tcPr>
            <w:tcW w:w="240" w:type="dxa"/>
            <w:vAlign w:val="bottom"/>
            <w:tcBorders>
              <w:top w:val="single" w:sz="8" w:color="CCEEFF"/>
            </w:tcBorders>
            <w:shd w:val="clear" w:color="auto" w:fill="CCEEFF"/>
          </w:tcPr>
          <w:p>
            <w:pPr>
              <w:jc w:val="right"/>
              <w:ind w:right="4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1.33</w:t>
            </w:r>
          </w:p>
        </w:tc>
        <w:tc>
          <w:tcPr>
            <w:tcW w:w="140" w:type="dxa"/>
            <w:vAlign w:val="bottom"/>
            <w:tcBorders>
              <w:top w:val="single" w:sz="8" w:color="CCEEFF"/>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left="5" w:right="20"/>
        <w:spacing w:after="0" w:line="267" w:lineRule="auto"/>
        <w:rPr>
          <w:sz w:val="20"/>
          <w:szCs w:val="20"/>
          <w:color w:val="auto"/>
        </w:rPr>
      </w:pPr>
      <w:r>
        <w:rPr>
          <w:rFonts w:ascii="Times New Roman" w:cs="Times New Roman" w:eastAsia="Times New Roman" w:hAnsi="Times New Roman"/>
          <w:sz w:val="16"/>
          <w:szCs w:val="16"/>
          <w:color w:val="auto"/>
        </w:rPr>
        <w:t>For the three and six-month periods ended June 30, 2025, the payout rate decreased as compared to 2024 as a result of the non-recurring nature of certain transactional products sold during the first quarter of 2024 which included a pay-out to the financial advisors in the range of 90%.</w:t>
      </w:r>
    </w:p>
    <w:p>
      <w:pPr>
        <w:spacing w:after="0" w:line="337"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308610</wp:posOffset>
            </wp:positionV>
            <wp:extent cx="6306185" cy="222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06185" cy="22225"/>
                    </a:xfrm>
                    <a:prstGeom prst="rect">
                      <a:avLst/>
                    </a:prstGeom>
                    <a:noFill/>
                  </pic:spPr>
                </pic:pic>
              </a:graphicData>
            </a:graphic>
          </wp:anchor>
        </w:drawing>
      </w:r>
    </w:p>
    <w:p>
      <w:pPr>
        <w:sectPr>
          <w:pgSz w:w="11900" w:h="16838" w:orient="portrait"/>
          <w:cols w:equalWidth="0" w:num="1">
            <w:col w:w="9945"/>
          </w:cols>
          <w:pgMar w:left="975" w:top="461" w:right="9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Employee compensation and benefits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Employee compensation and benefits includes salaries, wages, benefits and related taxes for our employees.</w:t>
      </w:r>
    </w:p>
    <w:p>
      <w:pPr>
        <w:spacing w:after="0" w:line="17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Employee compensation and benefits for the three and six-month period ended June 30, 2025 increased by approximately $1.4 million and $2.2 million as compared to June 30, 2024, which is directly related to the additional personnel costs attributed to the Company now operating as a public company, including issuance of non-cash compensation awards to officers and directors during the period ended June 30, 2025.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Rent and occupancy</w:t>
      </w:r>
    </w:p>
    <w:p>
      <w:pPr>
        <w:spacing w:after="0" w:line="16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Rent and occupancy remained relatively consistent for the three and six-month period ended June 30, 2025 as compared to June 30, 2024 decreasing slightly by approximately 2.0%.</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Professional fees</w:t>
      </w:r>
    </w:p>
    <w:p>
      <w:pPr>
        <w:spacing w:after="0" w:line="180"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6"/>
          <w:szCs w:val="16"/>
          <w:color w:val="auto"/>
        </w:rPr>
        <w:t>Professional fees includes costs incurred related to legal and accounting services. Professional fees for the three month period ended June 30, 2025 as compared to 2024 increased by approximately $0.1 which is related to an increase in SEC filings in the current period. Professional fees for the six-month period ended June 30, 2025, as compared to 2024, decreased by $3.7 million, which is directly related to the non-recurring transaction costs associated with the closing of the Business Combination that were incurred during the period ended June 30, 2024.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Technology fees</w:t>
      </w:r>
    </w:p>
    <w:p>
      <w:pPr>
        <w:spacing w:after="0" w:line="18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Technology fees primarily represent infrastructure costs that support the Company’s technology and communications costs. Technology fees increased by $0.2 million and $0.7 million and for the three and six-month period ended June 30, 2025, respectively, as compared to 2024.</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Interest expense</w:t>
      </w:r>
    </w:p>
    <w:p>
      <w:pPr>
        <w:spacing w:after="0" w:line="16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Interest expense primarily includes interest associated with the Company’s credit facility and other debt obligations. Interest expense decreased by $0.2 million and $0.7 million for the three and six-month period ended June 30, 2025, respectively, as compared to 2024 resulting from the repayment and restructuring of the related party debt obligations of BMS and the re-financing of the senior credit facility.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Depreciation and amortization</w:t>
      </w:r>
    </w:p>
    <w:p>
      <w:pPr>
        <w:spacing w:after="0" w:line="18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Depreciation and amortization relates to the use of property, equipment and leasehold improvements. Amortization also includes the amortization related to certain intangible assets.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expense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expense includes insurance, travel-related expenses, office expenses, marketing and other miscellaneous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Provision for Income Taxes</w:t>
      </w:r>
    </w:p>
    <w:p>
      <w:pPr>
        <w:spacing w:after="0" w:line="16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Our effective income tax rate was approximately 22% for the six-month period ended June 30, 2025 as compared to (15.2)% for the same period in 2024. The increase in our effective tax rate was related to the net income generated for the six-month period ended June 30, 2025.</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We have established liquidity policies intended to support the execution of strategic initiatives, while meeting regulatory capital requirements and maintaining ongoing and sufficient liquidity. We believe liquidity is of critical importance to the Company and, in particular, to our broker-dealer subsidiaries, PKSI, CLS, MSI and WEG. The objective of our policies is to ensure that we can meet our strategic, operational and regulatory liquidity and capital requirements under both normal operating conditions and under periods of stress in the financial markets.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308610</wp:posOffset>
            </wp:positionV>
            <wp:extent cx="6306185" cy="14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06185" cy="14605"/>
                    </a:xfrm>
                    <a:prstGeom prst="rect">
                      <a:avLst/>
                    </a:prstGeom>
                    <a:noFill/>
                  </pic:spPr>
                </pic:pic>
              </a:graphicData>
            </a:graphic>
          </wp:anchor>
        </w:drawing>
      </w:r>
    </w:p>
    <w:p>
      <w:pPr>
        <w:sectPr>
          <w:pgSz w:w="11900" w:h="16838" w:orient="portrait"/>
          <w:cols w:equalWidth="0" w:num="1">
            <w:col w:w="9940"/>
          </w:cols>
          <w:pgMar w:left="980" w:top="461" w:right="9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Parent Company Liquidity</w:t>
      </w:r>
    </w:p>
    <w:p>
      <w:pPr>
        <w:spacing w:after="0" w:line="15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Binah Capital Group, Inc. through its indirectly wholly owned subsidiary BMS, is the direct holding company of our operating subsidiaries, and considers its primary sources of liquidity to be dividends and management fees from our operating subsidiaries.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Sources of Liquidity</w:t>
      </w:r>
    </w:p>
    <w:p>
      <w:pPr>
        <w:spacing w:after="0" w:line="16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As of June 30, 2025, we had $18.6 million outstanding under our Credit Agreement with Byline Bank, net of unamortized debt issuance costs. The associated debt facilities are as follows: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Byline Bank</w:t>
      </w:r>
    </w:p>
    <w:p>
      <w:pPr>
        <w:spacing w:after="0" w:line="1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On December 23, 2024 (the “Credit Agreement Closing Date”), BMS, entered into a Credit Agreement (the “Credit Agreement”) with Byline Bank, as lender (the “Lender”), pursuant to which the Lender agreed, at the BMS’s request, to (i) make to BMS a term loan in the original principal amount of $20.3 million (the “Term Loan”), which was funded on the Credit Agreement Closing Date; (ii) make to BMS, from time to time, certain non-revolving loans (the “Non-Revolving Loans”) in an aggregate principal amount of up to $1.0 million (the “Non-Revolving Loan Commitment”), to be funded through, but excluding, the Maturity Date (as defined below); and (iii) issue to BMS, from time to time, letters of credit (the “Letters of Credit” and together with the Term Loan and Non-Revolving Loans, the “Loans”) until the earliest to occur of (a) the one year from the Credit Agreement Closing Date and (b) the date on which the Non-Revolving Loans are fully drawn. As of June 30, 2025 and December 31, 2024, the outstanding balance on the Term Loan was $18.6 million and $19.6 million, net of debt issuance costs, respectively.</w:t>
      </w:r>
    </w:p>
    <w:p>
      <w:pPr>
        <w:spacing w:after="0" w:line="142"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6"/>
          <w:szCs w:val="16"/>
          <w:color w:val="auto"/>
        </w:rPr>
        <w:t>Under the terms of the Credit Agreement, to the extent that BMS requests a Letter of Credit, the Non-Revolving Loan Commitment shall be permanently reduced in an amount equal to the amount of such Letter of Credit. The Non-Revolving Loans may not be requested by BMS and may only be advanced in connection with a repayment of a Letter of Credit (“LC Payment”). As of June 30, 2025 and December 31, 2024, there are no amount outstanding under the Non-Revolving Loan or Letters of Credit.</w:t>
      </w:r>
    </w:p>
    <w:p>
      <w:pPr>
        <w:spacing w:after="0" w:line="12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The Loans (both principal and any remaining unpaid interest) made by the Lender to BMS are scheduled to mature and become immediately due and payable in full on December 23, 2029 (“Maturity Date”). The obligations under the Credit Agreement shall bear interest (i) as to the Term Loan, a per annum variable interest rate equal to the Applicable Margin (as defined in the Credit Agreement) plus the greater of (x) the Term Secured Overnight Financing Rate (“SOFR”) (as defined in the Credit Agreement) and (y) one percent (1.00%) (the “Term Loan Interest Rate”); (ii) as to the Non-Revolving Loans or any reimbursement obligations relating to a Letter of Credit, at an interest rate equal to SOFR plus four percent (4.00%) per annum; and (iii) if any other obligations is created under the Loan Documents (as defined in the Credit Agreement), at the Term Loan Interest Rate. As of June 30, 2025 and December 31, 2024, the effective interest rate was 8.3%.</w:t>
      </w:r>
    </w:p>
    <w:p>
      <w:pPr>
        <w:spacing w:after="0" w:line="1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During the period ending June 30, 2025, BMS entered into an interest rate swap agreement with a notional amount of $10 million in connection with the above-mentioned Credit Agreement. Under the terms of the swap, BMS pays a fixed rate of 3.98% plus four percent (4.00%) and receives a variable interest rate based on SOFR plus 4.00% as defined above. The swap agreement requires monthly payments to be made or received. The swap is designated as cash flow hedge of the variability of the SOFR-based interest payments on $10 million of BMS’s outstanding variable-rate debt.</w:t>
      </w:r>
    </w:p>
    <w:p>
      <w:pPr>
        <w:spacing w:after="0" w:line="141"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4"/>
          <w:szCs w:val="14"/>
          <w:color w:val="auto"/>
        </w:rPr>
        <w:t>As of June 30, 2025, the interest rate swap had a fair value of $0.15 million and was recorded as a liability and included in accounts payable, accrued expenses and other liabilities on the consolidated statement of financial condition. The Company has adopted the shortcut method allowing it to assume perfect hedge effectiveness. Changes in the effective portion of the swap’s fair value are recognized in accumulated other comprehensive income (“AOCI”).</w:t>
      </w:r>
    </w:p>
    <w:p>
      <w:pPr>
        <w:spacing w:after="0" w:line="9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The Term Loan was used by BMS to refinance Existing Credit Facilities (as defined in the Credit Agreement) and the Non-Revolving Loans must be used solely to reimburse the Lender with respect to any Letters of Credit issued to BMS. The Term Loan refinanced and retired the previous Oak Street Funding Facility.</w:t>
      </w:r>
    </w:p>
    <w:p>
      <w:pPr>
        <w:spacing w:after="0" w:line="12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The Credit Agreement also includes customary covenants for a transaction of this type, including covenants limiting the indebtedness that can be incurred by BMS and restricting BMS’s ability to make certain loans and investments. Additionally, BMS is subject to financial covenants whereby BMS and its subsidiaries on a consolidated basis may not have, as of the last day of each fiscal quarter, commencing with fiscal quarter ending on March 31, 2025, (1) a fixed charge coverage ratio as of the last day of the fiscal quarter for the twelve (12) month period then ended of not less than 1.20 to 1.00; (ii) a senior net leverage ratio as of the last day of such Fiscal Quarter for the twelve (12) month period then ended, of (A) for the fiscal quarter ended March 31, 2025 and each fiscal quarter through</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308610</wp:posOffset>
            </wp:positionV>
            <wp:extent cx="6306185" cy="222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06185" cy="22225"/>
                    </a:xfrm>
                    <a:prstGeom prst="rect">
                      <a:avLst/>
                    </a:prstGeom>
                    <a:noFill/>
                  </pic:spPr>
                </pic:pic>
              </a:graphicData>
            </a:graphic>
          </wp:anchor>
        </w:drawing>
      </w:r>
    </w:p>
    <w:p>
      <w:pPr>
        <w:sectPr>
          <w:pgSz w:w="11900" w:h="16838" w:orient="portrait"/>
          <w:cols w:equalWidth="0" w:num="1">
            <w:col w:w="9940"/>
          </w:cols>
          <w:pgMar w:left="980" w:top="461" w:right="9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and including September 30, 2025, not more than 3.00 to 1.00; and (B) for the fiscal quarter ended December 31, 2025 and each fiscal quarter ending thereafter, not more than 2.75 to 1.00; or (iii) an annualized revenue received from custodians of at least $18.0 million.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Also, in accordance with the Credit Agreement, BMS has deposited $1.0 million into an A/P Reserve Account and is classified as restricted cash.</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minimum calendar year payments and maturities of the Term Loan as of June 30, 2025 were as follows (</w:t>
            </w:r>
            <w:r>
              <w:rPr>
                <w:rFonts w:ascii="Times New Roman" w:cs="Times New Roman" w:eastAsia="Times New Roman" w:hAnsi="Times New Roman"/>
                <w:sz w:val="16"/>
                <w:szCs w:val="16"/>
                <w:b w:val="1"/>
                <w:bCs w:val="1"/>
                <w:color w:val="auto"/>
              </w:rPr>
              <w:t>in thousands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8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42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4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4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2028</w:t>
            </w:r>
          </w:p>
        </w:tc>
        <w:tc>
          <w:tcPr>
            <w:tcW w:w="4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2029</w:t>
            </w:r>
          </w:p>
        </w:tc>
        <w:tc>
          <w:tcPr>
            <w:tcW w:w="4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680" w:type="dxa"/>
            <w:vAlign w:val="bottom"/>
          </w:tcPr>
          <w:p>
            <w:pPr>
              <w:spacing w:after="0"/>
              <w:rPr>
                <w:sz w:val="15"/>
                <w:szCs w:val="15"/>
                <w:color w:val="auto"/>
              </w:rPr>
            </w:pPr>
          </w:p>
        </w:tc>
        <w:tc>
          <w:tcPr>
            <w:tcW w:w="420" w:type="dxa"/>
            <w:vAlign w:val="bottom"/>
            <w:tcBorders>
              <w:bottom w:val="single" w:sz="8" w:color="auto"/>
            </w:tcBorders>
          </w:tcPr>
          <w:p>
            <w:pPr>
              <w:jc w:val="right"/>
              <w:ind w:right="26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19,285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Series A Redeemable Convertible Preferred Stock</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On March 15, 2024 (the “Funding Date”) in connection with the consummation of the Business Combination, Holdings and Wentworth entered into a Subscription Agreement with an investor for the purchase of 1,500,000 shares of Holdings’ Series A Redeemable Convertible Preferred Stock (the “</w:t>
      </w:r>
      <w:r>
        <w:rPr>
          <w:rFonts w:ascii="Times New Roman" w:cs="Times New Roman" w:eastAsia="Times New Roman" w:hAnsi="Times New Roman"/>
          <w:sz w:val="16"/>
          <w:szCs w:val="16"/>
          <w:b w:val="1"/>
          <w:bCs w:val="1"/>
          <w:i w:val="1"/>
          <w:iCs w:val="1"/>
          <w:color w:val="auto"/>
        </w:rPr>
        <w:t>Holdings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Series A Stock</w:t>
      </w:r>
      <w:r>
        <w:rPr>
          <w:rFonts w:ascii="Times New Roman" w:cs="Times New Roman" w:eastAsia="Times New Roman" w:hAnsi="Times New Roman"/>
          <w:sz w:val="16"/>
          <w:szCs w:val="16"/>
          <w:color w:val="auto"/>
        </w:rPr>
        <w:t>”) in a private placement at $9.60 per share, for an aggregate purchase price of $14.4 million (the “</w:t>
      </w:r>
      <w:r>
        <w:rPr>
          <w:rFonts w:ascii="Times New Roman" w:cs="Times New Roman" w:eastAsia="Times New Roman" w:hAnsi="Times New Roman"/>
          <w:sz w:val="16"/>
          <w:szCs w:val="16"/>
          <w:b w:val="1"/>
          <w:bCs w:val="1"/>
          <w:i w:val="1"/>
          <w:iCs w:val="1"/>
          <w:color w:val="auto"/>
        </w:rPr>
        <w:t>Series A PIPE</w:t>
      </w:r>
      <w:r>
        <w:rPr>
          <w:rFonts w:ascii="Times New Roman" w:cs="Times New Roman" w:eastAsia="Times New Roman" w:hAnsi="Times New Roman"/>
          <w:sz w:val="16"/>
          <w:szCs w:val="16"/>
          <w:color w:val="auto"/>
        </w:rPr>
        <w:t>”). The Holdings Series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Stock may be converted into shares of Holdings Common Stock after the second anniversary of the closing of the Series A PIPE, which such conversion shall initially be 1.5 shares of Holdings Common Stock for each share of Series A Convertible Preferred Stock, subject to certain adjustments provided in the Certificate of Designations.</w:t>
      </w:r>
    </w:p>
    <w:p>
      <w:pPr>
        <w:spacing w:after="0" w:line="1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Additionally, the Holdings Series A Stock carries a cumulative dividend at a rate of nine percent (9%) per annum, payable and compounded quarterly on the last day of each quarter. At the discretion of Holdings the payment may be made in cash or up to 50% of the amount due, in duly authorized, validly issued, fully paid and non-assessable share of Holdings Series A Stock at a value of $10 per share. As of June 30, 2025, the Company accrued 50% of the dividend to be paid in cash in the amount of $0.2 million and paid an in - kind dividend in the amount $0.2 million. As of December 31, 2024, the Company accrued 50% of the dividend to be paid in cash in the approximate amount of $0.2 million.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Holdings Series A Stock has liquidation preferences in the event of a voluntary or involuntary liquidation as follows:</w:t>
      </w:r>
    </w:p>
    <w:p>
      <w:pPr>
        <w:spacing w:after="0" w:line="189" w:lineRule="exact"/>
        <w:rPr>
          <w:sz w:val="20"/>
          <w:szCs w:val="20"/>
          <w:color w:val="auto"/>
        </w:rPr>
      </w:pPr>
    </w:p>
    <w:p>
      <w:pPr>
        <w:ind w:left="580" w:hanging="281"/>
        <w:spacing w:after="0"/>
        <w:tabs>
          <w:tab w:leader="none" w:pos="5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greater of $12.50 per share of Holdings Series A Stock if such liquidation occurs prior to the first anniversary of the Funding Date;</w:t>
      </w:r>
    </w:p>
    <w:p>
      <w:pPr>
        <w:spacing w:after="0" w:line="189" w:lineRule="exact"/>
        <w:rPr>
          <w:rFonts w:ascii="Times New Roman" w:cs="Times New Roman" w:eastAsia="Times New Roman" w:hAnsi="Times New Roman"/>
          <w:sz w:val="16"/>
          <w:szCs w:val="16"/>
          <w:color w:val="auto"/>
        </w:rPr>
      </w:pPr>
    </w:p>
    <w:p>
      <w:pPr>
        <w:ind w:left="580" w:hanging="281"/>
        <w:spacing w:after="0"/>
        <w:tabs>
          <w:tab w:leader="none" w:pos="5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$13.00 per share of Holdings Series A Stock if such liquidation occurs prior to the second anniversary of the Funding Date;</w:t>
      </w:r>
    </w:p>
    <w:p>
      <w:pPr>
        <w:spacing w:after="0" w:line="189" w:lineRule="exact"/>
        <w:rPr>
          <w:rFonts w:ascii="Times New Roman" w:cs="Times New Roman" w:eastAsia="Times New Roman" w:hAnsi="Times New Roman"/>
          <w:sz w:val="16"/>
          <w:szCs w:val="16"/>
          <w:color w:val="auto"/>
        </w:rPr>
      </w:pPr>
    </w:p>
    <w:p>
      <w:pPr>
        <w:ind w:left="580" w:hanging="281"/>
        <w:spacing w:after="0"/>
        <w:tabs>
          <w:tab w:leader="none" w:pos="5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$15.00 per share of Holdings Series A Stock if such liquidation occurs prior to the third anniversary of the Funding Date;</w:t>
      </w:r>
    </w:p>
    <w:p>
      <w:pPr>
        <w:spacing w:after="0" w:line="189" w:lineRule="exact"/>
        <w:rPr>
          <w:rFonts w:ascii="Times New Roman" w:cs="Times New Roman" w:eastAsia="Times New Roman" w:hAnsi="Times New Roman"/>
          <w:sz w:val="16"/>
          <w:szCs w:val="16"/>
          <w:color w:val="auto"/>
        </w:rPr>
      </w:pPr>
    </w:p>
    <w:p>
      <w:pPr>
        <w:ind w:left="580" w:hanging="281"/>
        <w:spacing w:after="0"/>
        <w:tabs>
          <w:tab w:leader="none" w:pos="5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$16.00 per share of Holdings Series A Stock if such liquidation occurs prior to the fourth anniversary of the Funding Date.</w:t>
      </w:r>
    </w:p>
    <w:p>
      <w:pPr>
        <w:spacing w:after="0" w:line="18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Holdings, at its option, may redeem the Series A Stock on any anniversary of the Funding date up to an including the fourth anniversary of the Funding date at the following redemption prices:</w:t>
      </w:r>
    </w:p>
    <w:p>
      <w:pPr>
        <w:spacing w:after="0" w:line="151" w:lineRule="exact"/>
        <w:rPr>
          <w:sz w:val="20"/>
          <w:szCs w:val="20"/>
          <w:color w:val="auto"/>
        </w:rPr>
      </w:pPr>
    </w:p>
    <w:p>
      <w:pPr>
        <w:ind w:left="580" w:hanging="281"/>
        <w:spacing w:after="0"/>
        <w:tabs>
          <w:tab w:leader="none" w:pos="5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$11.50 per share of Series A Stock on the first anniversary of the Funding Date;</w:t>
      </w:r>
    </w:p>
    <w:p>
      <w:pPr>
        <w:spacing w:after="0" w:line="189" w:lineRule="exact"/>
        <w:rPr>
          <w:rFonts w:ascii="Times New Roman" w:cs="Times New Roman" w:eastAsia="Times New Roman" w:hAnsi="Times New Roman"/>
          <w:sz w:val="16"/>
          <w:szCs w:val="16"/>
          <w:color w:val="auto"/>
        </w:rPr>
      </w:pPr>
    </w:p>
    <w:p>
      <w:pPr>
        <w:ind w:left="580" w:hanging="281"/>
        <w:spacing w:after="0"/>
        <w:tabs>
          <w:tab w:leader="none" w:pos="5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$13.00 per share of Series A Stock on the second anniversary of the Funding Date;</w:t>
      </w:r>
    </w:p>
    <w:p>
      <w:pPr>
        <w:spacing w:after="0" w:line="189" w:lineRule="exact"/>
        <w:rPr>
          <w:rFonts w:ascii="Times New Roman" w:cs="Times New Roman" w:eastAsia="Times New Roman" w:hAnsi="Times New Roman"/>
          <w:sz w:val="16"/>
          <w:szCs w:val="16"/>
          <w:color w:val="auto"/>
        </w:rPr>
      </w:pPr>
    </w:p>
    <w:p>
      <w:pPr>
        <w:ind w:left="580" w:hanging="281"/>
        <w:spacing w:after="0"/>
        <w:tabs>
          <w:tab w:leader="none" w:pos="5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$15.00 per share of Series A Stock on the third anniversary of the Funding Date;</w:t>
      </w:r>
    </w:p>
    <w:p>
      <w:pPr>
        <w:spacing w:after="0" w:line="189" w:lineRule="exact"/>
        <w:rPr>
          <w:rFonts w:ascii="Times New Roman" w:cs="Times New Roman" w:eastAsia="Times New Roman" w:hAnsi="Times New Roman"/>
          <w:sz w:val="16"/>
          <w:szCs w:val="16"/>
          <w:color w:val="auto"/>
        </w:rPr>
      </w:pPr>
    </w:p>
    <w:p>
      <w:pPr>
        <w:ind w:left="580" w:hanging="281"/>
        <w:spacing w:after="0"/>
        <w:tabs>
          <w:tab w:leader="none" w:pos="5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$16.00 per share of Series A Stock on the fourth anniversary of the Funding Date;</w:t>
      </w:r>
    </w:p>
    <w:p>
      <w:pPr>
        <w:spacing w:after="0" w:line="189"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6"/>
          <w:szCs w:val="16"/>
          <w:color w:val="auto"/>
        </w:rPr>
        <w:t>If the Series A Stock have not previously been redeemed or converted, the Series A Stock will be redeemed by Holdings on the fourth anniversary of the Funding Date.</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308610</wp:posOffset>
            </wp:positionV>
            <wp:extent cx="6306185" cy="222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06185" cy="22225"/>
                    </a:xfrm>
                    <a:prstGeom prst="rect">
                      <a:avLst/>
                    </a:prstGeom>
                    <a:noFill/>
                  </pic:spPr>
                </pic:pic>
              </a:graphicData>
            </a:graphic>
          </wp:anchor>
        </w:drawing>
      </w:r>
    </w:p>
    <w:p>
      <w:pPr>
        <w:sectPr>
          <w:pgSz w:w="11900" w:h="16838" w:orient="portrait"/>
          <w:cols w:equalWidth="0" w:num="1">
            <w:col w:w="9940"/>
          </w:cols>
          <w:pgMar w:left="980" w:top="461" w:right="9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Series B Convertible Preferred Stock</w:t>
      </w:r>
    </w:p>
    <w:p>
      <w:pPr>
        <w:spacing w:after="0" w:line="19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On September 4, 2024, the Company entered into a Subscription Agreement with an investor for the purchase of 150,000 shares of Holdings’ Series B Convertible Preferred Stock (the “</w:t>
      </w:r>
      <w:r>
        <w:rPr>
          <w:rFonts w:ascii="Times New Roman" w:cs="Times New Roman" w:eastAsia="Times New Roman" w:hAnsi="Times New Roman"/>
          <w:sz w:val="16"/>
          <w:szCs w:val="16"/>
          <w:b w:val="1"/>
          <w:bCs w:val="1"/>
          <w:i w:val="1"/>
          <w:iCs w:val="1"/>
          <w:color w:val="auto"/>
        </w:rPr>
        <w:t>Holdings Series B Stock</w:t>
      </w:r>
      <w:r>
        <w:rPr>
          <w:rFonts w:ascii="Times New Roman" w:cs="Times New Roman" w:eastAsia="Times New Roman" w:hAnsi="Times New Roman"/>
          <w:sz w:val="16"/>
          <w:szCs w:val="16"/>
          <w:color w:val="auto"/>
        </w:rPr>
        <w:t>”) in a private placement at $10.00 per share, for an aggregate purchase price of $1.5 million. The Holdings Series B Stock may be converted into shares of Holdings Common Stock, at the option of the investor at a rate equal to the quotient of (i) $10.00 divided, by (ii) the product of (A). 80 multiplied by, (B) the volume weighted average price for the 20 trading days during the 30-day period immediately prior to such conversion, provided that in no event shall the denominator be less than $6.00 per share (the “Conversion Rate”).</w:t>
      </w:r>
    </w:p>
    <w:p>
      <w:pPr>
        <w:spacing w:after="0" w:line="1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Additionally, the Holdings Series B Stock carries a cumulative dividend at a rate of nine percent (7%) per annum, payable and compounded quarterly on the last day of each quarter. At the discretion of Holdings, the payment may be made in cash or up to 50% of the amount due, in duly authorized, validly issued, fully paid and non-assessable share of Holdings Series B Stock at a value of $10 per share. As of June 30, 2025 and December 31, 2024, included in accounts payable, accrued expenses and other liabilities on the accompanying consolidated statement of financial condition is an accrued dividend in the amount of $0.03 million that was paid subsequent to June 30, 2025 and December 31, 2024.</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 Company may, at its option, in whole, or part, redeem the Holdings Series B Stock any time after the first anniversary of the date of the Subscription Agreement at a redemption price equal to the greater of (i) $12.00 per share of Holdings Series B Stock, plus accrued but unpaid dividends or (A) 1.20 multiplied by (B) the volume weighted average price for 20 trading days during the 30-day period immediately prior to the redemption; provided that such price shall not greater than $20.00.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Promissory notes - affiliates</w:t>
      </w:r>
    </w:p>
    <w:p>
      <w:pPr>
        <w:spacing w:after="0" w:line="19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On November 30, 2017, Wentworth issued subordinated promissory notes in the aggregate principal amount of approximately $3.6 million to certain sellers in connection with the acquisition of the PKSH Entities. These notes had a maturity date of May 17, 2023 and accrued interest at a rate of 10% annually. The interest on these notes continued to accrue until such time as these notes were paid.</w:t>
      </w:r>
    </w:p>
    <w:p>
      <w:pPr>
        <w:spacing w:after="0" w:line="1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Additionally, in connection with the acquisition of the PKSH Entities, the Company agreed to pay contingent consideration in the amount of $5.0 million to certain sellers. The conditions related to this contingency were met on November 30, 2018, and thus the notes had been issued to the sellers. These subordinated promissory notes had a maturity date of May 30, 2023, and accrued interest at a rate of 10% annually. The interest on these notes continued to accrue until such time as these notes were paid.</w:t>
      </w:r>
    </w:p>
    <w:p>
      <w:pPr>
        <w:spacing w:after="0" w:line="16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In connection with the closing of the Business Combination, the Company paid approximately $3.4 million on these notes. In addition to the paydown, the noteholders (all of whom are stockholders and/or key employees) agreed to forgive the remaining accrued but unpaid interest of approximately $3.8 million and entered into new promissory notes in the principal amount of approximately $5.3 million in the aggregate. The amounts outstanding as of June 30, 2025 was $5.3 million. The amount outstanding as of December 31, 2024 was $5.4 million which included accrued interest that was paid subsequently. The terms of these new promissory notes provide for maturity on May 15, 2027 and carries an interest rate of Prime plus 1.00%, but no less than 7.50% per annum. Related interest expense was approximately $0.3 and $0.1 for the six-months ended June 30, 2025 and 2024, respectively.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Flows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a summary of cash flows for the six-month periods ended June 30, 2025 and 2024:</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7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2"/>
                <w:szCs w:val="12"/>
                <w:b w:val="1"/>
                <w:bCs w:val="1"/>
                <w:color w:val="auto"/>
              </w:rPr>
              <w:t>2025</w:t>
            </w:r>
          </w:p>
        </w:tc>
        <w:tc>
          <w:tcPr>
            <w:tcW w:w="2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78"/>
        </w:trPr>
        <w:tc>
          <w:tcPr>
            <w:tcW w:w="734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260" w:type="dxa"/>
            <w:vAlign w:val="bottom"/>
            <w:shd w:val="clear" w:color="auto" w:fill="CCEEFF"/>
          </w:tcPr>
          <w:p>
            <w:pPr>
              <w:jc w:val="right"/>
              <w:ind w:right="10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1,117</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(2,113)</w:t>
            </w:r>
          </w:p>
        </w:tc>
      </w:tr>
      <w:tr>
        <w:trPr>
          <w:trHeight w:val="187"/>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187"/>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2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w:t>
            </w:r>
          </w:p>
        </w:tc>
      </w:tr>
      <w:tr>
        <w:trPr>
          <w:trHeight w:val="194"/>
        </w:trPr>
        <w:tc>
          <w:tcPr>
            <w:tcW w:w="73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Net change in cash flows</w:t>
            </w: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220" w:type="dxa"/>
            <w:vAlign w:val="bottom"/>
          </w:tcPr>
          <w:p>
            <w:pPr>
              <w:spacing w:after="0"/>
              <w:rPr>
                <w:sz w:val="16"/>
                <w:szCs w:val="16"/>
                <w:color w:val="auto"/>
              </w:rPr>
            </w:pPr>
          </w:p>
        </w:tc>
        <w:tc>
          <w:tcPr>
            <w:tcW w:w="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w:t>
            </w:r>
          </w:p>
        </w:tc>
      </w:tr>
    </w:tbl>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i w:val="1"/>
          <w:iCs w:val="1"/>
          <w:color w:val="auto"/>
        </w:rPr>
        <w:t>Cash Flows from Operating Activities</w:t>
      </w:r>
      <w:r>
        <w:rPr>
          <w:rFonts w:ascii="Times New Roman" w:cs="Times New Roman" w:eastAsia="Times New Roman" w:hAnsi="Times New Roman"/>
          <w:sz w:val="16"/>
          <w:szCs w:val="16"/>
          <w:color w:val="auto"/>
        </w:rPr>
        <w:t>. Net cash provided by operating activities was $1.1 million for the six-month period ended June 30, 2025, compared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net cash used in of $2.1 million for the six-month period ended June 30, 2024, representing an increase of approximately $3.2 million or 150%. The increase was primarily attributable to the decrease in the net loss of approximately $2.3 million to net income of $0.4 million or a change of $2.7 million.</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308610</wp:posOffset>
            </wp:positionV>
            <wp:extent cx="6306185" cy="14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06185" cy="14605"/>
                    </a:xfrm>
                    <a:prstGeom prst="rect">
                      <a:avLst/>
                    </a:prstGeom>
                    <a:noFill/>
                  </pic:spPr>
                </pic:pic>
              </a:graphicData>
            </a:graphic>
          </wp:anchor>
        </w:drawing>
      </w:r>
    </w:p>
    <w:p>
      <w:pPr>
        <w:sectPr>
          <w:pgSz w:w="11900" w:h="16838" w:orient="portrait"/>
          <w:cols w:equalWidth="0" w:num="1">
            <w:col w:w="9940"/>
          </w:cols>
          <w:pgMar w:left="980" w:top="461" w:right="979" w:bottom="1440" w:gutter="0" w:footer="0" w:header="0"/>
        </w:sectPr>
      </w:pPr>
    </w:p>
    <w:bookmarkStart w:id="37" w:name="page38"/>
    <w:bookmarkEnd w:id="37"/>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both"/>
        <w:ind w:left="5" w:right="20"/>
        <w:spacing w:after="0" w:line="270" w:lineRule="auto"/>
        <w:rPr>
          <w:sz w:val="20"/>
          <w:szCs w:val="20"/>
          <w:color w:val="auto"/>
        </w:rPr>
      </w:pPr>
      <w:r>
        <w:rPr>
          <w:rFonts w:ascii="Times New Roman" w:cs="Times New Roman" w:eastAsia="Times New Roman" w:hAnsi="Times New Roman"/>
          <w:sz w:val="16"/>
          <w:szCs w:val="16"/>
          <w:i w:val="1"/>
          <w:iCs w:val="1"/>
          <w:color w:val="auto"/>
        </w:rPr>
        <w:t>Cash Flows from Investing Activities</w:t>
      </w:r>
      <w:r>
        <w:rPr>
          <w:rFonts w:ascii="Times New Roman" w:cs="Times New Roman" w:eastAsia="Times New Roman" w:hAnsi="Times New Roman"/>
          <w:sz w:val="16"/>
          <w:szCs w:val="16"/>
          <w:color w:val="auto"/>
        </w:rPr>
        <w:t>. Net cash used in investing activities was $0.01 million for the six-month period ended June 30, 2025, compared with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$0.01 million for the six-month period ended June 30, 2024.</w:t>
      </w:r>
    </w:p>
    <w:p>
      <w:pPr>
        <w:spacing w:after="0" w:line="146" w:lineRule="exact"/>
        <w:rPr>
          <w:sz w:val="20"/>
          <w:szCs w:val="20"/>
          <w:color w:val="auto"/>
        </w:rPr>
      </w:pPr>
    </w:p>
    <w:p>
      <w:pPr>
        <w:jc w:val="both"/>
        <w:ind w:left="5"/>
        <w:spacing w:after="0" w:line="252" w:lineRule="auto"/>
        <w:rPr>
          <w:sz w:val="20"/>
          <w:szCs w:val="20"/>
          <w:color w:val="auto"/>
        </w:rPr>
      </w:pPr>
      <w:r>
        <w:rPr>
          <w:rFonts w:ascii="Times New Roman" w:cs="Times New Roman" w:eastAsia="Times New Roman" w:hAnsi="Times New Roman"/>
          <w:sz w:val="16"/>
          <w:szCs w:val="16"/>
          <w:i w:val="1"/>
          <w:iCs w:val="1"/>
          <w:color w:val="auto"/>
        </w:rPr>
        <w:t>Cash Flows from Financing Activities</w:t>
      </w:r>
      <w:r>
        <w:rPr>
          <w:rFonts w:ascii="Times New Roman" w:cs="Times New Roman" w:eastAsia="Times New Roman" w:hAnsi="Times New Roman"/>
          <w:sz w:val="16"/>
          <w:szCs w:val="16"/>
          <w:color w:val="auto"/>
        </w:rPr>
        <w:t>. Net cash used in financing activities was approximately $1.4 million for the six-month period ended June 30, 2025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compared to cash provided by financing activities of approximately $1.5 million for the six-month period ended June 30, 2024. The change is primarily related to the proceeds received from the Redeemable Convertible Preferred Financing and the exercise of warrants offset by the repayments of the BMS related party debt obligations.</w:t>
      </w:r>
    </w:p>
    <w:p>
      <w:pPr>
        <w:spacing w:after="0" w:line="16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Contractual Obligations and Commitments</w:t>
      </w:r>
    </w:p>
    <w:p>
      <w:pPr>
        <w:spacing w:after="0" w:line="15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following table summarizes our contractual obligations and other commitments as of June 30, 2025:</w:t>
      </w:r>
    </w:p>
    <w:p>
      <w:pPr>
        <w:spacing w:after="0" w:line="161" w:lineRule="exact"/>
        <w:rPr>
          <w:sz w:val="20"/>
          <w:szCs w:val="20"/>
          <w:color w:val="auto"/>
        </w:rPr>
      </w:pPr>
    </w:p>
    <w:tbl>
      <w:tblPr>
        <w:tblLayout w:type="fixed"/>
        <w:tblInd w:w="5" w:type="dxa"/>
        <w:tblCellMar>
          <w:top w:w="0" w:type="dxa"/>
          <w:left w:w="0" w:type="dxa"/>
          <w:bottom w:w="0" w:type="dxa"/>
          <w:right w:w="0" w:type="dxa"/>
        </w:tblCellMar>
      </w:tblPr>
      <w:tr>
        <w:trPr>
          <w:trHeight w:val="150"/>
        </w:trPr>
        <w:tc>
          <w:tcPr>
            <w:tcW w:w="24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2"/>
                <w:szCs w:val="12"/>
                <w:b w:val="1"/>
                <w:bCs w:val="1"/>
                <w:color w:val="auto"/>
              </w:rPr>
              <w:t>Payments Due by period</w:t>
            </w:r>
          </w:p>
        </w:tc>
        <w:tc>
          <w:tcPr>
            <w:tcW w:w="7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43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Contractual obligations</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jc w:val="right"/>
              <w:ind w:right="245"/>
              <w:spacing w:after="0" w:line="120" w:lineRule="exact"/>
              <w:rPr>
                <w:sz w:val="20"/>
                <w:szCs w:val="20"/>
                <w:color w:val="auto"/>
              </w:rPr>
            </w:pPr>
            <w:r>
              <w:rPr>
                <w:rFonts w:ascii="Times New Roman" w:cs="Times New Roman" w:eastAsia="Times New Roman" w:hAnsi="Times New Roman"/>
                <w:sz w:val="12"/>
                <w:szCs w:val="12"/>
                <w:b w:val="1"/>
                <w:bCs w:val="1"/>
                <w:color w:val="auto"/>
              </w:rPr>
              <w:t>Total</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jc w:val="right"/>
              <w:ind w:right="5"/>
              <w:spacing w:after="0" w:line="120" w:lineRule="exact"/>
              <w:rPr>
                <w:sz w:val="20"/>
                <w:szCs w:val="20"/>
                <w:color w:val="auto"/>
              </w:rPr>
            </w:pPr>
            <w:r>
              <w:rPr>
                <w:rFonts w:ascii="Times New Roman" w:cs="Times New Roman" w:eastAsia="Times New Roman" w:hAnsi="Times New Roman"/>
                <w:sz w:val="12"/>
                <w:szCs w:val="12"/>
                <w:b w:val="1"/>
                <w:bCs w:val="1"/>
                <w:color w:val="auto"/>
                <w:w w:val="99"/>
              </w:rPr>
              <w:t>Less than 1 Year</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ind w:left="80"/>
              <w:spacing w:after="0" w:line="120" w:lineRule="exact"/>
              <w:rPr>
                <w:sz w:val="20"/>
                <w:szCs w:val="20"/>
                <w:color w:val="auto"/>
              </w:rPr>
            </w:pPr>
            <w:r>
              <w:rPr>
                <w:rFonts w:ascii="Times New Roman" w:cs="Times New Roman" w:eastAsia="Times New Roman" w:hAnsi="Times New Roman"/>
                <w:sz w:val="12"/>
                <w:szCs w:val="12"/>
                <w:b w:val="1"/>
                <w:bCs w:val="1"/>
                <w:color w:val="auto"/>
              </w:rPr>
              <w:t>1-3 Years</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2"/>
                <w:szCs w:val="12"/>
                <w:b w:val="1"/>
                <w:bCs w:val="1"/>
                <w:color w:val="auto"/>
              </w:rPr>
              <w:t>3-5 Years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ind w:left="20"/>
              <w:spacing w:after="0" w:line="120" w:lineRule="exact"/>
              <w:rPr>
                <w:sz w:val="20"/>
                <w:szCs w:val="20"/>
                <w:color w:val="auto"/>
              </w:rPr>
            </w:pPr>
            <w:r>
              <w:rPr>
                <w:rFonts w:ascii="Times New Roman" w:cs="Times New Roman" w:eastAsia="Times New Roman" w:hAnsi="Times New Roman"/>
                <w:sz w:val="12"/>
                <w:szCs w:val="12"/>
                <w:b w:val="1"/>
                <w:bCs w:val="1"/>
                <w:color w:val="auto"/>
              </w:rPr>
              <w:t>More than 5 Years</w:t>
            </w:r>
          </w:p>
        </w:tc>
        <w:tc>
          <w:tcPr>
            <w:tcW w:w="0" w:type="dxa"/>
            <w:vAlign w:val="bottom"/>
          </w:tcPr>
          <w:p>
            <w:pPr>
              <w:spacing w:after="0"/>
              <w:rPr>
                <w:sz w:val="1"/>
                <w:szCs w:val="1"/>
                <w:color w:val="auto"/>
              </w:rPr>
            </w:pPr>
          </w:p>
        </w:tc>
      </w:tr>
      <w:tr>
        <w:trPr>
          <w:trHeight w:val="108"/>
        </w:trPr>
        <w:tc>
          <w:tcPr>
            <w:tcW w:w="4320" w:type="dxa"/>
            <w:vAlign w:val="bottom"/>
            <w:tcBorders>
              <w:bottom w:val="single" w:sz="8" w:color="auto"/>
            </w:tcBorders>
            <w:gridSpan w:val="2"/>
            <w:vMerge w:val="continue"/>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180" w:type="dxa"/>
            <w:vAlign w:val="bottom"/>
            <w:tcBorders>
              <w:top w:val="single" w:sz="8" w:color="auto"/>
              <w:bottom w:val="single" w:sz="8" w:color="CCEEFF"/>
            </w:tcBorders>
          </w:tcPr>
          <w:p>
            <w:pPr>
              <w:spacing w:after="0"/>
              <w:rPr>
                <w:sz w:val="9"/>
                <w:szCs w:val="9"/>
                <w:color w:val="auto"/>
              </w:rPr>
            </w:pPr>
          </w:p>
        </w:tc>
        <w:tc>
          <w:tcPr>
            <w:tcW w:w="700" w:type="dxa"/>
            <w:vAlign w:val="bottom"/>
            <w:tcBorders>
              <w:top w:val="single" w:sz="8" w:color="auto"/>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CCEEFF"/>
            </w:tcBorders>
          </w:tcPr>
          <w:p>
            <w:pPr>
              <w:spacing w:after="0"/>
              <w:rPr>
                <w:sz w:val="9"/>
                <w:szCs w:val="9"/>
                <w:color w:val="auto"/>
              </w:rPr>
            </w:pPr>
          </w:p>
        </w:tc>
        <w:tc>
          <w:tcPr>
            <w:tcW w:w="960" w:type="dxa"/>
            <w:vAlign w:val="bottom"/>
            <w:tcBorders>
              <w:top w:val="single" w:sz="8" w:color="auto"/>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120" w:type="dxa"/>
            <w:vAlign w:val="bottom"/>
            <w:tcBorders>
              <w:top w:val="single" w:sz="8" w:color="auto"/>
              <w:bottom w:val="single" w:sz="8" w:color="CCEEFF"/>
            </w:tcBorders>
          </w:tcPr>
          <w:p>
            <w:pPr>
              <w:spacing w:after="0"/>
              <w:rPr>
                <w:sz w:val="9"/>
                <w:szCs w:val="9"/>
                <w:color w:val="auto"/>
              </w:rPr>
            </w:pPr>
          </w:p>
        </w:tc>
        <w:tc>
          <w:tcPr>
            <w:tcW w:w="760" w:type="dxa"/>
            <w:vAlign w:val="bottom"/>
            <w:tcBorders>
              <w:top w:val="single" w:sz="8" w:color="auto"/>
              <w:bottom w:val="single" w:sz="8" w:color="CCEEFF"/>
            </w:tcBorders>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(in thousands)</w:t>
            </w:r>
          </w:p>
        </w:tc>
        <w:tc>
          <w:tcPr>
            <w:tcW w:w="8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180" w:type="dxa"/>
            <w:vAlign w:val="bottom"/>
            <w:tcBorders>
              <w:top w:val="single" w:sz="8" w:color="auto"/>
              <w:bottom w:val="single" w:sz="8" w:color="CCEEFF"/>
            </w:tcBorders>
          </w:tcPr>
          <w:p>
            <w:pPr>
              <w:spacing w:after="0"/>
              <w:rPr>
                <w:sz w:val="9"/>
                <w:szCs w:val="9"/>
                <w:color w:val="auto"/>
              </w:rPr>
            </w:pPr>
          </w:p>
        </w:tc>
        <w:tc>
          <w:tcPr>
            <w:tcW w:w="720" w:type="dxa"/>
            <w:vAlign w:val="bottom"/>
            <w:tcBorders>
              <w:top w:val="single" w:sz="8" w:color="auto"/>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CCEEFF"/>
            </w:tcBorders>
          </w:tcPr>
          <w:p>
            <w:pPr>
              <w:spacing w:after="0"/>
              <w:rPr>
                <w:sz w:val="9"/>
                <w:szCs w:val="9"/>
                <w:color w:val="auto"/>
              </w:rPr>
            </w:pPr>
          </w:p>
        </w:tc>
        <w:tc>
          <w:tcPr>
            <w:tcW w:w="1100" w:type="dxa"/>
            <w:vAlign w:val="bottom"/>
            <w:tcBorders>
              <w:top w:val="single" w:sz="8" w:color="auto"/>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432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Long-term debt obligations (1)</w:t>
            </w:r>
          </w:p>
        </w:tc>
        <w:tc>
          <w:tcPr>
            <w:tcW w:w="320" w:type="dxa"/>
            <w:vAlign w:val="bottom"/>
            <w:gridSpan w:val="2"/>
            <w:shd w:val="clear" w:color="auto" w:fill="CCEEFF"/>
          </w:tcPr>
          <w:p>
            <w:pPr>
              <w:jc w:val="right"/>
              <w:ind w:right="22"/>
              <w:spacing w:after="0" w:line="178"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19,285</w:t>
            </w:r>
          </w:p>
        </w:tc>
        <w:tc>
          <w:tcPr>
            <w:tcW w:w="220" w:type="dxa"/>
            <w:vAlign w:val="bottom"/>
            <w:gridSpan w:val="2"/>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1,015</w:t>
            </w:r>
          </w:p>
        </w:tc>
        <w:tc>
          <w:tcPr>
            <w:tcW w:w="260" w:type="dxa"/>
            <w:vAlign w:val="bottom"/>
            <w:gridSpan w:val="2"/>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8,120</w:t>
            </w:r>
          </w:p>
        </w:tc>
        <w:tc>
          <w:tcPr>
            <w:tcW w:w="8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22"/>
              <w:spacing w:after="0" w:line="178"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10,150</w:t>
            </w:r>
          </w:p>
        </w:tc>
        <w:tc>
          <w:tcPr>
            <w:tcW w:w="140" w:type="dxa"/>
            <w:vAlign w:val="bottom"/>
            <w:shd w:val="clear" w:color="auto" w:fill="CCEEFF"/>
          </w:tcPr>
          <w:p>
            <w:pPr>
              <w:spacing w:after="0"/>
              <w:rPr>
                <w:sz w:val="15"/>
                <w:szCs w:val="15"/>
                <w:color w:val="auto"/>
              </w:rPr>
            </w:pPr>
          </w:p>
        </w:tc>
        <w:tc>
          <w:tcPr>
            <w:tcW w:w="100" w:type="dxa"/>
            <w:vAlign w:val="bottom"/>
            <w:gridSpan w:val="2"/>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ind w:left="900"/>
              <w:spacing w:after="0" w:line="178"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7"/>
        </w:trPr>
        <w:tc>
          <w:tcPr>
            <w:tcW w:w="4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Promissory notes - affiliates (2)</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5,313</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7"/>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obligations (3)</w:t>
            </w:r>
          </w:p>
        </w:tc>
        <w:tc>
          <w:tcPr>
            <w:tcW w:w="1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4,405</w:t>
            </w: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2,228</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8"/>
        </w:trPr>
        <w:tc>
          <w:tcPr>
            <w:tcW w:w="24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jc w:val="right"/>
              <w:ind w:right="2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29,003</w:t>
            </w:r>
          </w:p>
        </w:tc>
        <w:tc>
          <w:tcPr>
            <w:tcW w:w="14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1,792</w:t>
            </w:r>
          </w:p>
        </w:tc>
        <w:tc>
          <w:tcPr>
            <w:tcW w:w="14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15,661</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auto"/>
            </w:tcBorders>
          </w:tcPr>
          <w:p>
            <w:pPr>
              <w:jc w:val="right"/>
              <w:ind w:right="2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11,550</w:t>
            </w: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ind w:left="900"/>
              <w:spacing w:after="0" w:line="178"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2480" w:type="dxa"/>
            <w:vAlign w:val="bottom"/>
            <w:tcBorders>
              <w:bottom w:val="single" w:sz="8" w:color="auto"/>
            </w:tcBorders>
          </w:tcPr>
          <w:p>
            <w:pPr>
              <w:spacing w:after="0"/>
              <w:rPr>
                <w:sz w:val="6"/>
                <w:szCs w:val="6"/>
                <w:color w:val="auto"/>
              </w:rPr>
            </w:pPr>
          </w:p>
        </w:tc>
        <w:tc>
          <w:tcPr>
            <w:tcW w:w="1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85" w:hanging="285"/>
        <w:spacing w:after="0"/>
        <w:tabs>
          <w:tab w:leader="none" w:pos="285"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principal obligations related to the Byline Credit Agreement that was entered into during the year ended December 31, 2024.</w:t>
      </w:r>
    </w:p>
    <w:p>
      <w:pPr>
        <w:spacing w:after="0" w:line="18" w:lineRule="exact"/>
        <w:rPr>
          <w:rFonts w:ascii="Times New Roman" w:cs="Times New Roman" w:eastAsia="Times New Roman" w:hAnsi="Times New Roman"/>
          <w:sz w:val="16"/>
          <w:szCs w:val="16"/>
          <w:color w:val="auto"/>
        </w:rPr>
      </w:pPr>
    </w:p>
    <w:p>
      <w:pPr>
        <w:ind w:left="285" w:hanging="285"/>
        <w:spacing w:after="0"/>
        <w:tabs>
          <w:tab w:leader="none" w:pos="285"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obligations under the amounts due to certain sellers of the PKSH entities. The notes mature in March 2027.</w:t>
      </w:r>
    </w:p>
    <w:p>
      <w:pPr>
        <w:spacing w:after="0" w:line="2" w:lineRule="exact"/>
        <w:rPr>
          <w:rFonts w:ascii="Times New Roman" w:cs="Times New Roman" w:eastAsia="Times New Roman" w:hAnsi="Times New Roman"/>
          <w:sz w:val="16"/>
          <w:szCs w:val="16"/>
          <w:color w:val="auto"/>
        </w:rPr>
      </w:pPr>
    </w:p>
    <w:p>
      <w:pPr>
        <w:ind w:left="285" w:hanging="285"/>
        <w:spacing w:after="0"/>
        <w:tabs>
          <w:tab w:leader="none" w:pos="285"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future minimum lease payments as of June 30, 2025, under non-cancelable office leases.</w:t>
      </w:r>
    </w:p>
    <w:p>
      <w:pPr>
        <w:spacing w:after="0" w:line="14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156" w:lineRule="exact"/>
        <w:rPr>
          <w:sz w:val="20"/>
          <w:szCs w:val="20"/>
          <w:color w:val="auto"/>
        </w:rPr>
      </w:pPr>
    </w:p>
    <w:p>
      <w:pPr>
        <w:jc w:val="both"/>
        <w:ind w:left="5" w:right="20"/>
        <w:spacing w:after="0" w:line="255"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GAAP requires management to make estimates and assumptions that affect the amounts reported in the consolidated financial statements and accompanying notes. Although these estimates are based on the Company’s knowledge of current events and actions the Company may undertake in the future, actual results could differ from those estimates and assumptions.</w:t>
      </w:r>
    </w:p>
    <w:p>
      <w:pPr>
        <w:spacing w:after="0" w:line="125" w:lineRule="exact"/>
        <w:rPr>
          <w:sz w:val="20"/>
          <w:szCs w:val="20"/>
          <w:color w:val="auto"/>
        </w:rPr>
      </w:pPr>
    </w:p>
    <w:p>
      <w:pPr>
        <w:jc w:val="both"/>
        <w:ind w:left="5"/>
        <w:spacing w:after="0" w:line="255" w:lineRule="auto"/>
        <w:rPr>
          <w:sz w:val="20"/>
          <w:szCs w:val="20"/>
          <w:color w:val="auto"/>
        </w:rPr>
      </w:pPr>
      <w:r>
        <w:rPr>
          <w:rFonts w:ascii="Times New Roman" w:cs="Times New Roman" w:eastAsia="Times New Roman" w:hAnsi="Times New Roman"/>
          <w:sz w:val="16"/>
          <w:szCs w:val="16"/>
          <w:color w:val="auto"/>
        </w:rPr>
        <w:t>We define our critical accounting policies and estimates as those that require us to make subjective judgments about matters that are uncertain and are likely to have a material impact on our financial condition and results of operations as well as the specific manner in which we apply those principles. We believe the critical accounting policies used in the preparation of our financial statements which require significant estimates and judgments are as follows:</w:t>
      </w:r>
    </w:p>
    <w:p>
      <w:pPr>
        <w:spacing w:after="0" w:line="13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156" w:lineRule="exact"/>
        <w:rPr>
          <w:sz w:val="20"/>
          <w:szCs w:val="20"/>
          <w:color w:val="auto"/>
        </w:rPr>
      </w:pPr>
    </w:p>
    <w:p>
      <w:pPr>
        <w:jc w:val="both"/>
        <w:ind w:left="5" w:right="20"/>
        <w:spacing w:after="0" w:line="251" w:lineRule="auto"/>
        <w:rPr>
          <w:sz w:val="20"/>
          <w:szCs w:val="20"/>
          <w:color w:val="auto"/>
        </w:rPr>
      </w:pPr>
      <w:r>
        <w:rPr>
          <w:rFonts w:ascii="Times New Roman" w:cs="Times New Roman" w:eastAsia="Times New Roman" w:hAnsi="Times New Roman"/>
          <w:sz w:val="16"/>
          <w:szCs w:val="16"/>
          <w:color w:val="auto"/>
        </w:rPr>
        <w:t>Revenues from contracts with customers are recognized when control of the promised services is transferred to customers, in an amount that reflects the consideration the Company expects to be entitled to in exchange for those services. Management exercises judgment in determining whether the Company is the principal (i.e., reports revenues on a gross basis) or agent (i.e., reports revenue on a net basis). For additional information see Note 4 in the consolidated financial statements as of and for the three and six-months periods ended June 30, 2025 and 2024.</w:t>
      </w:r>
    </w:p>
    <w:p>
      <w:pPr>
        <w:spacing w:after="0" w:line="16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Goodwill and Other Intangible Assets</w:t>
      </w:r>
    </w:p>
    <w:p>
      <w:pPr>
        <w:spacing w:after="0" w:line="156" w:lineRule="exact"/>
        <w:rPr>
          <w:sz w:val="20"/>
          <w:szCs w:val="20"/>
          <w:color w:val="auto"/>
        </w:rPr>
      </w:pPr>
    </w:p>
    <w:p>
      <w:pPr>
        <w:jc w:val="both"/>
        <w:ind w:left="5"/>
        <w:spacing w:after="0" w:line="246" w:lineRule="auto"/>
        <w:rPr>
          <w:sz w:val="20"/>
          <w:szCs w:val="20"/>
          <w:color w:val="auto"/>
        </w:rPr>
      </w:pPr>
      <w:r>
        <w:rPr>
          <w:rFonts w:ascii="Times New Roman" w:cs="Times New Roman" w:eastAsia="Times New Roman" w:hAnsi="Times New Roman"/>
          <w:sz w:val="16"/>
          <w:szCs w:val="16"/>
          <w:color w:val="auto"/>
        </w:rPr>
        <w:t>Goodwill and other intangible assets are tested annually for impairment or if certain events occur indicating that the carrying amounts may be impaired. We have the option to first assess qualitative factors to determine whether the existence of events or circumstances leads to a determination that it is more likely than not that the fair value of a reporting unit is less than its carrying amount. If, after assessing the totality of events or circumstances, we determine it is more likely than not that the fair value of a reporting unit is greater than its carrying amount, then performing the two-step impairment test is not required. However, if we conclude otherwise, we are then required to perform the first step of the two-step impairment test. Goodwill impairment is determined by comparing the estimated fair value of a reporting unit with its respective carrying value. If the estimated fair value exceeds the carrying value, goodwill at the reporting unit level is not deemed to be impaired. If the estimated fair value is below carrying value, however, further analysis is required to determine the amount of the impairment. Additionally, if the carrying value of a reporting unit is zero or a negative value and it is determined that it is more likely than not the goodwill is impaired, further analysis is required. The estimated fair values of the reporting units are derived based on valuation techniques we believe market participants would use for each of the reporting units.</w:t>
      </w:r>
    </w:p>
    <w:p>
      <w:pPr>
        <w:spacing w:after="0" w:line="35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308610</wp:posOffset>
            </wp:positionV>
            <wp:extent cx="6306185" cy="222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06185" cy="22225"/>
                    </a:xfrm>
                    <a:prstGeom prst="rect">
                      <a:avLst/>
                    </a:prstGeom>
                    <a:noFill/>
                  </pic:spPr>
                </pic:pic>
              </a:graphicData>
            </a:graphic>
          </wp:anchor>
        </w:drawing>
      </w:r>
    </w:p>
    <w:p>
      <w:pPr>
        <w:sectPr>
          <w:pgSz w:w="11900" w:h="16838" w:orient="portrait"/>
          <w:cols w:equalWidth="0" w:num="1">
            <w:col w:w="9945"/>
          </w:cols>
          <w:pgMar w:left="975" w:top="461" w:right="9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0"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6"/>
          <w:szCs w:val="16"/>
          <w:color w:val="auto"/>
        </w:rPr>
        <w:t>We performed our goodwill impairment test as of and for the years ended December 31, 2024, and 2023. The estimated fair value of the reporting units were determined using the market approach for each reporting unit, relying specifically on the guideline public company method. Our guideline public company method incorporates revenue and earnings multiples from publicly traded companies with operations and other characteristics similar to each reporting unit. As a result of the 2024 and 2023 annual impairment tests, the fair value of the reporting units was approximately 270% and 257% greater than its carrying value, respectively. Since there have been no events or circumstances which indicated that it was more likely than not the fair value of the reporting units were below their carrying amount, interim goodwill tests were not considered necessary.</w:t>
      </w:r>
    </w:p>
    <w:p>
      <w:pPr>
        <w:spacing w:after="0" w:line="16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The goodwill impairment test requires us to make judgments in determining what assumptions to use in the calculation. Assumptions, judgments, and estimates about future cash flows and discount rates are complex and often subjective. They can be affected by a variety of factors, including, among others, economic trends and market conditions, changes in revenue growth trends or business strategies, unanticipated competition, discount rates, technology, or government regulations. In assessing the fair value of our reporting units, the volatile nature of the securities markets and industry requires us to consider the business and market cycle and assess the stage of the cycle in estimating the timing and extent of future cash flows. In addition to discounted cash flows, we consider other information, such as public market comparable and multiples of recent mergers and acquisitions of similar businesses. Although we believe the assumptions, judgments, and estimates we have made in the past have been reasonable and appropriate, different assumptions, judgments, and estimates could materially affect our reported financial results.</w:t>
      </w:r>
    </w:p>
    <w:p>
      <w:pPr>
        <w:spacing w:after="0" w:line="1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Intangible assets that are deemed to have definite lives are amortized over their useful lives, generally ranging from 5 to 10 years. They are reviewed for impairment when there is evidence that events or changes in circumstances indicate that the carrying amount may not be recoverable. Recoverability of assets to be held and used is measured by comparing the carrying amount to the estimated undiscounted future cash flows expected to be generated. If the carrying amount of an asset exceeds its estimated future cash flows, an impairment charge is recognized for the amount by which the carrying amount of the asset exceeds the estimated fair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Contingent Liabilities</w:t>
      </w:r>
    </w:p>
    <w:p>
      <w:pPr>
        <w:spacing w:after="0" w:line="19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The Company recognizes liabilities for contingencies when there is an exposure that, when fully analyzed, indicates potential losses become probable and can be reasonably estimated. Whether a potential loss is probable and can be reasonably estimated is based on currently available information and is subject to significant judgment, a variety of assumptions and uncertainties.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When a potential loss is probable and the loss or range of loss can be estimated, the Company will accrue the most likely amount within that range. No liability is recognized for those matters which, in management’s judgment, the determination of a reasonable estimate of potential loss is not possible, or for which a potential loss is not determined to be probable.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Recently Issued Accounting Pronouncements</w:t>
      </w:r>
    </w:p>
    <w:p>
      <w:pPr>
        <w:spacing w:after="0" w:line="18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 xml:space="preserve">Refer to Note 2 - </w:t>
      </w:r>
      <w:r>
        <w:rPr>
          <w:rFonts w:ascii="Times New Roman" w:cs="Times New Roman" w:eastAsia="Times New Roman" w:hAnsi="Times New Roman"/>
          <w:sz w:val="16"/>
          <w:szCs w:val="16"/>
          <w:i w:val="1"/>
          <w:iCs w:val="1"/>
          <w:color w:val="auto"/>
        </w:rPr>
        <w:t>Summary of Significant Accounting Policies,</w:t>
      </w:r>
      <w:r>
        <w:rPr>
          <w:rFonts w:ascii="Times New Roman" w:cs="Times New Roman" w:eastAsia="Times New Roman" w:hAnsi="Times New Roman"/>
          <w:sz w:val="16"/>
          <w:szCs w:val="16"/>
          <w:color w:val="auto"/>
        </w:rPr>
        <w:t xml:space="preserve"> within the notes to the condensed consolidated financial statements for a discussion of recent accounting pronouncements or changes in accounting pronouncements that are of significance, or potential significance, to us.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 Risk</w:t>
      </w:r>
    </w:p>
    <w:p>
      <w:pPr>
        <w:spacing w:after="0" w:line="1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We are subject to market risk resulting from operational risk events, which can require customer trade corrections. We also bear market risk on the fees we earn that are based on the market value of advisory and brokerage assets, as well as assets on which trailing commissions are paid and assets eligible for sponsor payments.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Interest Rate Risk</w:t>
      </w:r>
    </w:p>
    <w:p>
      <w:pPr>
        <w:spacing w:after="0" w:line="19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We are exposed to risk associated with changes in interest rates. As of June 30, 2025, $8.6 million of our outstanding debt was subject to floating interest rate risk. While our senior secured term loan is subject to increases in interest rates, we do not believe that a short-term change in interest rates would have a material impact on our net income, given revenue generated by our share of the interest earned in our clients’ cash balances held at our clearing brokers, which is generally subject to the same, but offsetting interest rate risk.</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308610</wp:posOffset>
            </wp:positionV>
            <wp:extent cx="6306185" cy="14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06185" cy="14605"/>
                    </a:xfrm>
                    <a:prstGeom prst="rect">
                      <a:avLst/>
                    </a:prstGeom>
                    <a:noFill/>
                  </pic:spPr>
                </pic:pic>
              </a:graphicData>
            </a:graphic>
          </wp:anchor>
        </w:drawing>
      </w:r>
    </w:p>
    <w:p>
      <w:pPr>
        <w:sectPr>
          <w:pgSz w:w="11900" w:h="16838" w:orient="portrait"/>
          <w:cols w:equalWidth="0" w:num="1">
            <w:col w:w="9940"/>
          </w:cols>
          <w:pgMar w:left="980" w:top="461" w:right="9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Credit Risk</w:t>
      </w:r>
    </w:p>
    <w:p>
      <w:pPr>
        <w:spacing w:after="0" w:line="191"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color w:val="auto"/>
        </w:rPr>
        <w:t>Financial instruments that subject the Company to credit risk consist principally of receivables and cash and cash equivalents. The Company performs certain credit evaluation procedures and does not require collateral for financial instruments subject to credit risk. The Company believes that credit risk is limited because the Company routinely assesses the financial strength of its counterparties and, based upon factors surrounding the credit risk of its counterparties, establishes an allowance for uncollectible accounts and, consequently, believes that its receivables credit risk exposure beyond such allowances is limited.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Evaluation of Disclosure Controls and Procedures</w:t>
      </w:r>
    </w:p>
    <w:p>
      <w:pPr>
        <w:spacing w:after="0" w:line="19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6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Under the supervision and with the participation of our management, including our principal executive officer and principal financial and accounting officer, we conducted an evaluation of the effectiveness of our disclosure controls and procedures as of June 30, 2025, as such term is defined in Rules 13a-15(e) and 15d-15(e) under the Exchange Act. Based on this evaluation, our principal executive officer and principal financial and accounting officer have concluded that as of June 30, 2025, our disclosure controls and procedures were effective.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Internal Control over Financial Reporting</w:t>
      </w:r>
    </w:p>
    <w:p>
      <w:pPr>
        <w:spacing w:after="0" w:line="19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308610</wp:posOffset>
            </wp:positionV>
            <wp:extent cx="6306185" cy="14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06185" cy="14605"/>
                    </a:xfrm>
                    <a:prstGeom prst="rect">
                      <a:avLst/>
                    </a:prstGeom>
                    <a:noFill/>
                  </pic:spPr>
                </pic:pic>
              </a:graphicData>
            </a:graphic>
          </wp:anchor>
        </w:drawing>
      </w:r>
    </w:p>
    <w:p>
      <w:pPr>
        <w:sectPr>
          <w:pgSz w:w="11900" w:h="16838" w:orient="portrait"/>
          <w:cols w:equalWidth="0" w:num="1">
            <w:col w:w="9940"/>
          </w:cols>
          <w:pgMar w:left="980" w:top="461" w:right="979" w:bottom="1440" w:gutter="0" w:footer="0" w:header="0"/>
        </w:sectPr>
      </w:pPr>
    </w:p>
    <w:bookmarkStart w:id="40" w:name="page41"/>
    <w:bookmarkEnd w:id="40"/>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PART II—OTHER INFORMATION</w:t>
      </w:r>
    </w:p>
    <w:p>
      <w:pPr>
        <w:spacing w:after="0" w:line="18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191" w:lineRule="exact"/>
        <w:rPr>
          <w:sz w:val="20"/>
          <w:szCs w:val="20"/>
          <w:color w:val="auto"/>
        </w:rPr>
      </w:pPr>
    </w:p>
    <w:p>
      <w:pPr>
        <w:jc w:val="both"/>
        <w:ind w:left="5"/>
        <w:spacing w:after="0" w:line="267" w:lineRule="auto"/>
        <w:rPr>
          <w:sz w:val="20"/>
          <w:szCs w:val="20"/>
          <w:color w:val="auto"/>
        </w:rPr>
      </w:pPr>
      <w:r>
        <w:rPr>
          <w:rFonts w:ascii="Times New Roman" w:cs="Times New Roman" w:eastAsia="Times New Roman" w:hAnsi="Times New Roman"/>
          <w:sz w:val="16"/>
          <w:szCs w:val="16"/>
          <w:color w:val="auto"/>
        </w:rPr>
        <w:t>We may be party to various claims and legal proceedings from time to time. We are not subject to any pending material legal proceedings, nor, to our knowledge, is any material legal proceeding threatened against us or any of our officers or directors in their capacity as such.</w:t>
      </w:r>
    </w:p>
    <w:p>
      <w:pPr>
        <w:spacing w:after="0" w:line="151" w:lineRule="exact"/>
        <w:rPr>
          <w:sz w:val="20"/>
          <w:szCs w:val="20"/>
          <w:color w:val="auto"/>
        </w:rPr>
      </w:pPr>
    </w:p>
    <w:p>
      <w:pPr>
        <w:jc w:val="both"/>
        <w:ind w:left="5"/>
        <w:spacing w:after="0" w:line="255" w:lineRule="auto"/>
        <w:rPr>
          <w:sz w:val="20"/>
          <w:szCs w:val="20"/>
          <w:color w:val="auto"/>
        </w:rPr>
      </w:pPr>
      <w:r>
        <w:rPr>
          <w:rFonts w:ascii="Times New Roman" w:cs="Times New Roman" w:eastAsia="Times New Roman" w:hAnsi="Times New Roman"/>
          <w:sz w:val="16"/>
          <w:szCs w:val="16"/>
          <w:color w:val="auto"/>
        </w:rPr>
        <w:t>From time to time, we have been subjected to and are currently subject to legal and regulatory proceedings arising out of our business operations, including lawsuits, arbitration claims and inquiries, investigations and enforcement proceedings initiated by the SEC, FINRA and state securities regulators, as well as other actions and claims.</w:t>
      </w:r>
    </w:p>
    <w:p>
      <w:pPr>
        <w:spacing w:after="0" w:line="15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191" w:lineRule="exact"/>
        <w:rPr>
          <w:sz w:val="20"/>
          <w:szCs w:val="20"/>
          <w:color w:val="auto"/>
        </w:rPr>
      </w:pPr>
    </w:p>
    <w:p>
      <w:pPr>
        <w:jc w:val="both"/>
        <w:ind w:left="5"/>
        <w:spacing w:after="0" w:line="267" w:lineRule="auto"/>
        <w:rPr>
          <w:sz w:val="20"/>
          <w:szCs w:val="20"/>
          <w:color w:val="auto"/>
        </w:rPr>
      </w:pPr>
      <w:r>
        <w:rPr>
          <w:rFonts w:ascii="Times New Roman" w:cs="Times New Roman" w:eastAsia="Times New Roman" w:hAnsi="Times New Roman"/>
          <w:sz w:val="16"/>
          <w:szCs w:val="16"/>
          <w:color w:val="auto"/>
        </w:rPr>
        <w:t>There have been no material changes to the information previously disclosed in “Item 1A. Risk Factors” in our Annual Report on Form 10-K for the year ended December 31, 2024.</w:t>
      </w:r>
    </w:p>
    <w:p>
      <w:pPr>
        <w:spacing w:after="0" w:line="14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19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None.</w:t>
      </w:r>
    </w:p>
    <w:p>
      <w:pPr>
        <w:spacing w:after="0" w:line="18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3. Defaults Upon Senior Securities.</w:t>
      </w:r>
    </w:p>
    <w:p>
      <w:pPr>
        <w:spacing w:after="0" w:line="19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None.</w:t>
      </w:r>
    </w:p>
    <w:p>
      <w:pPr>
        <w:spacing w:after="0" w:line="18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19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Not Applicable.</w:t>
      </w:r>
    </w:p>
    <w:p>
      <w:pPr>
        <w:spacing w:after="0" w:line="18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18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Employment Agreement Amendment with Craig Gould</w:t>
      </w:r>
    </w:p>
    <w:p>
      <w:pPr>
        <w:spacing w:after="0" w:line="191" w:lineRule="exact"/>
        <w:rPr>
          <w:sz w:val="20"/>
          <w:szCs w:val="20"/>
          <w:color w:val="auto"/>
        </w:rPr>
      </w:pPr>
    </w:p>
    <w:p>
      <w:pPr>
        <w:jc w:val="both"/>
        <w:ind w:left="5"/>
        <w:spacing w:after="0" w:line="290" w:lineRule="auto"/>
        <w:rPr>
          <w:sz w:val="20"/>
          <w:szCs w:val="20"/>
          <w:color w:val="auto"/>
        </w:rPr>
      </w:pPr>
      <w:r>
        <w:rPr>
          <w:rFonts w:ascii="Times New Roman" w:cs="Times New Roman" w:eastAsia="Times New Roman" w:hAnsi="Times New Roman"/>
          <w:sz w:val="14"/>
          <w:szCs w:val="14"/>
          <w:color w:val="auto"/>
        </w:rPr>
        <w:t>On August 7, 2025, the Company and Craig Gould entered into an amendment to the employment agreement of Mr. Gould (the “Amended Gould Employment Agreement”), to, among other things, (i) provide for the issuance by the Company of restricted stock units as equity compensation in lieu of stock options; and</w:t>
      </w:r>
    </w:p>
    <w:p>
      <w:pPr>
        <w:ind w:left="5" w:hanging="5"/>
        <w:spacing w:after="0" w:line="247" w:lineRule="auto"/>
        <w:tabs>
          <w:tab w:leader="none" w:pos="227"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annual bonus for the 2025 performance year may be paid in cash or vested Company shares with the grant date fair value equal to the bonus amount, as determined by the Board or Compensation Committee in its discretion.</w:t>
      </w:r>
    </w:p>
    <w:p>
      <w:pPr>
        <w:spacing w:after="0" w:line="16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Employment Agreement Amendment with David Shane</w:t>
      </w:r>
    </w:p>
    <w:p>
      <w:pPr>
        <w:spacing w:after="0" w:line="191" w:lineRule="exact"/>
        <w:rPr>
          <w:sz w:val="20"/>
          <w:szCs w:val="20"/>
          <w:color w:val="auto"/>
        </w:rPr>
      </w:pPr>
    </w:p>
    <w:p>
      <w:pPr>
        <w:jc w:val="both"/>
        <w:ind w:left="5"/>
        <w:spacing w:after="0" w:line="251" w:lineRule="auto"/>
        <w:rPr>
          <w:sz w:val="20"/>
          <w:szCs w:val="20"/>
          <w:color w:val="auto"/>
        </w:rPr>
      </w:pPr>
      <w:r>
        <w:rPr>
          <w:rFonts w:ascii="Times New Roman" w:cs="Times New Roman" w:eastAsia="Times New Roman" w:hAnsi="Times New Roman"/>
          <w:sz w:val="16"/>
          <w:szCs w:val="16"/>
          <w:color w:val="auto"/>
        </w:rPr>
        <w:t>On August 7, 2025, the Company and David Shane entered into an amendment to the employment agreement of Mr. Shane (the “Amended Shane Employment Agreement”), to, among other things, (i) provide for the issuance by the Company of restricted stock units as equity compensation in lieu of nonqualified stock options; and (2) the annual bonus for the 2025 performance year may be paid in cash or vested Company shares with the grant date fair value equal to the bonus amount, as determined by the Board or Compensation Committee in its discretion.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308610</wp:posOffset>
            </wp:positionV>
            <wp:extent cx="6306185" cy="146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06185" cy="14605"/>
                    </a:xfrm>
                    <a:prstGeom prst="rect">
                      <a:avLst/>
                    </a:prstGeom>
                    <a:noFill/>
                  </pic:spPr>
                </pic:pic>
              </a:graphicData>
            </a:graphic>
          </wp:anchor>
        </w:drawing>
      </w:r>
    </w:p>
    <w:p>
      <w:pPr>
        <w:sectPr>
          <w:pgSz w:w="11900" w:h="16838" w:orient="portrait"/>
          <w:cols w:equalWidth="0" w:num="1">
            <w:col w:w="9925"/>
          </w:cols>
          <w:pgMar w:left="975" w:top="461"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Exhibits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exhibits are filed as part of, or incorporated by reference into, this Quarterly Report on Form 10-Q.</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1500" w:type="dxa"/>
            <w:vAlign w:val="bottom"/>
            <w:tcBorders>
              <w:top w:val="single" w:sz="8" w:color="auto"/>
              <w:left w:val="single" w:sz="8" w:color="auto"/>
              <w:right w:val="single" w:sz="8" w:color="auto"/>
            </w:tcBorders>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Exhibit</w:t>
            </w:r>
          </w:p>
        </w:tc>
        <w:tc>
          <w:tcPr>
            <w:tcW w:w="200" w:type="dxa"/>
            <w:vAlign w:val="bottom"/>
            <w:tcBorders>
              <w:top w:val="single" w:sz="8" w:color="auto"/>
              <w:right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47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0" w:type="dxa"/>
            <w:vAlign w:val="bottom"/>
            <w:tcBorders>
              <w:top w:val="single" w:sz="8" w:color="auto"/>
              <w:right w:val="single" w:sz="8" w:color="auto"/>
            </w:tcBorders>
          </w:tcPr>
          <w:p>
            <w:pPr>
              <w:spacing w:after="0"/>
              <w:rPr>
                <w:sz w:val="15"/>
                <w:szCs w:val="15"/>
                <w:color w:val="auto"/>
              </w:rPr>
            </w:pPr>
          </w:p>
        </w:tc>
      </w:tr>
      <w:tr>
        <w:trPr>
          <w:trHeight w:val="205"/>
        </w:trPr>
        <w:tc>
          <w:tcPr>
            <w:tcW w:w="15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0" w:type="dxa"/>
            <w:vAlign w:val="bottom"/>
            <w:tcBorders>
              <w:bottom w:val="single" w:sz="8" w:color="auto"/>
              <w:right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500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Description of Document</w:t>
            </w:r>
          </w:p>
        </w:tc>
      </w:tr>
      <w:tr>
        <w:trPr>
          <w:trHeight w:val="144"/>
        </w:trPr>
        <w:tc>
          <w:tcPr>
            <w:tcW w:w="1500" w:type="dxa"/>
            <w:vAlign w:val="bottom"/>
            <w:tcBorders>
              <w:left w:val="single" w:sz="8" w:color="auto"/>
              <w:right w:val="single" w:sz="8" w:color="auto"/>
            </w:tcBorders>
          </w:tcPr>
          <w:p>
            <w:pPr>
              <w:ind w:left="20"/>
              <w:spacing w:after="0" w:line="144" w:lineRule="exact"/>
              <w:rPr>
                <w:sz w:val="20"/>
                <w:szCs w:val="20"/>
                <w:color w:val="auto"/>
              </w:rPr>
            </w:pPr>
            <w:r>
              <w:rPr>
                <w:rFonts w:ascii="Times New Roman" w:cs="Times New Roman" w:eastAsia="Times New Roman" w:hAnsi="Times New Roman"/>
                <w:sz w:val="16"/>
                <w:szCs w:val="16"/>
                <w:color w:val="auto"/>
              </w:rPr>
              <w:t>10.1‡</w:t>
            </w:r>
          </w:p>
        </w:tc>
        <w:tc>
          <w:tcPr>
            <w:tcW w:w="200" w:type="dxa"/>
            <w:vAlign w:val="bottom"/>
            <w:tcBorders>
              <w:right w:val="single" w:sz="8" w:color="auto"/>
            </w:tcBorders>
          </w:tcPr>
          <w:p>
            <w:pPr>
              <w:spacing w:after="0"/>
              <w:rPr>
                <w:sz w:val="12"/>
                <w:szCs w:val="12"/>
                <w:color w:val="auto"/>
              </w:rPr>
            </w:pPr>
          </w:p>
        </w:tc>
        <w:tc>
          <w:tcPr>
            <w:tcW w:w="8240" w:type="dxa"/>
            <w:vAlign w:val="bottom"/>
            <w:tcBorders>
              <w:right w:val="single" w:sz="8" w:color="auto"/>
            </w:tcBorders>
            <w:gridSpan w:val="11"/>
          </w:tcPr>
          <w:p>
            <w:pPr>
              <w:spacing w:after="0" w:line="144" w:lineRule="exact"/>
              <w:rPr>
                <w:sz w:val="20"/>
                <w:szCs w:val="20"/>
                <w:color w:val="auto"/>
              </w:rPr>
            </w:pPr>
            <w:r>
              <w:rPr>
                <w:rFonts w:ascii="Times New Roman" w:cs="Times New Roman" w:eastAsia="Times New Roman" w:hAnsi="Times New Roman"/>
                <w:sz w:val="16"/>
                <w:szCs w:val="16"/>
                <w:color w:val="0000EE"/>
              </w:rPr>
              <w:t>Form of Restricted Stock Agreement</w:t>
            </w:r>
          </w:p>
        </w:tc>
      </w:tr>
      <w:tr>
        <w:trPr>
          <w:trHeight w:val="20"/>
        </w:trPr>
        <w:tc>
          <w:tcPr>
            <w:tcW w:w="1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2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r>
      <w:tr>
        <w:trPr>
          <w:trHeight w:val="138"/>
        </w:trPr>
        <w:tc>
          <w:tcPr>
            <w:tcW w:w="1500" w:type="dxa"/>
            <w:vAlign w:val="bottom"/>
            <w:tcBorders>
              <w:left w:val="single" w:sz="8" w:color="auto"/>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6"/>
                <w:szCs w:val="16"/>
                <w:color w:val="auto"/>
              </w:rPr>
              <w:t>10.2‡</w:t>
            </w:r>
          </w:p>
        </w:tc>
        <w:tc>
          <w:tcPr>
            <w:tcW w:w="200" w:type="dxa"/>
            <w:vAlign w:val="bottom"/>
            <w:tcBorders>
              <w:right w:val="single" w:sz="8" w:color="auto"/>
            </w:tcBorders>
          </w:tcPr>
          <w:p>
            <w:pPr>
              <w:spacing w:after="0"/>
              <w:rPr>
                <w:sz w:val="12"/>
                <w:szCs w:val="12"/>
                <w:color w:val="auto"/>
              </w:rPr>
            </w:pPr>
          </w:p>
        </w:tc>
        <w:tc>
          <w:tcPr>
            <w:tcW w:w="8240" w:type="dxa"/>
            <w:vAlign w:val="bottom"/>
            <w:tcBorders>
              <w:right w:val="single" w:sz="8" w:color="auto"/>
            </w:tcBorders>
            <w:gridSpan w:val="11"/>
          </w:tcPr>
          <w:p>
            <w:pPr>
              <w:spacing w:after="0" w:line="138" w:lineRule="exact"/>
              <w:rPr>
                <w:sz w:val="20"/>
                <w:szCs w:val="20"/>
                <w:color w:val="auto"/>
              </w:rPr>
            </w:pPr>
            <w:r>
              <w:rPr>
                <w:rFonts w:ascii="Times New Roman" w:cs="Times New Roman" w:eastAsia="Times New Roman" w:hAnsi="Times New Roman"/>
                <w:sz w:val="16"/>
                <w:szCs w:val="16"/>
                <w:color w:val="0000EE"/>
              </w:rPr>
              <w:t>Form of Restricted Stock Unit Agreement</w:t>
            </w:r>
          </w:p>
        </w:tc>
      </w:tr>
      <w:tr>
        <w:trPr>
          <w:trHeight w:val="20"/>
        </w:trPr>
        <w:tc>
          <w:tcPr>
            <w:tcW w:w="1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2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r>
      <w:tr>
        <w:trPr>
          <w:trHeight w:val="138"/>
        </w:trPr>
        <w:tc>
          <w:tcPr>
            <w:tcW w:w="1500" w:type="dxa"/>
            <w:vAlign w:val="bottom"/>
            <w:tcBorders>
              <w:left w:val="single" w:sz="8" w:color="auto"/>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6"/>
                <w:szCs w:val="16"/>
                <w:color w:val="auto"/>
              </w:rPr>
              <w:t>10.3‡</w:t>
            </w:r>
          </w:p>
        </w:tc>
        <w:tc>
          <w:tcPr>
            <w:tcW w:w="200" w:type="dxa"/>
            <w:vAlign w:val="bottom"/>
            <w:tcBorders>
              <w:right w:val="single" w:sz="8" w:color="auto"/>
            </w:tcBorders>
          </w:tcPr>
          <w:p>
            <w:pPr>
              <w:spacing w:after="0"/>
              <w:rPr>
                <w:sz w:val="12"/>
                <w:szCs w:val="12"/>
                <w:color w:val="auto"/>
              </w:rPr>
            </w:pPr>
          </w:p>
        </w:tc>
        <w:tc>
          <w:tcPr>
            <w:tcW w:w="8240" w:type="dxa"/>
            <w:vAlign w:val="bottom"/>
            <w:tcBorders>
              <w:right w:val="single" w:sz="8" w:color="auto"/>
            </w:tcBorders>
            <w:gridSpan w:val="11"/>
          </w:tcPr>
          <w:p>
            <w:pPr>
              <w:spacing w:after="0" w:line="138" w:lineRule="exact"/>
              <w:rPr>
                <w:sz w:val="20"/>
                <w:szCs w:val="20"/>
                <w:color w:val="auto"/>
              </w:rPr>
            </w:pPr>
            <w:r>
              <w:rPr>
                <w:rFonts w:ascii="Times New Roman" w:cs="Times New Roman" w:eastAsia="Times New Roman" w:hAnsi="Times New Roman"/>
                <w:sz w:val="16"/>
                <w:szCs w:val="16"/>
                <w:color w:val="0000EE"/>
              </w:rPr>
              <w:t>Form of Director Stock Option Agreement</w:t>
            </w:r>
          </w:p>
        </w:tc>
      </w:tr>
      <w:tr>
        <w:trPr>
          <w:trHeight w:val="20"/>
        </w:trPr>
        <w:tc>
          <w:tcPr>
            <w:tcW w:w="1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2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r>
      <w:tr>
        <w:trPr>
          <w:trHeight w:val="138"/>
        </w:trPr>
        <w:tc>
          <w:tcPr>
            <w:tcW w:w="1500" w:type="dxa"/>
            <w:vAlign w:val="bottom"/>
            <w:tcBorders>
              <w:left w:val="single" w:sz="8" w:color="auto"/>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6"/>
                <w:szCs w:val="16"/>
                <w:color w:val="auto"/>
              </w:rPr>
              <w:t>10.4‡</w:t>
            </w:r>
          </w:p>
        </w:tc>
        <w:tc>
          <w:tcPr>
            <w:tcW w:w="200" w:type="dxa"/>
            <w:vAlign w:val="bottom"/>
            <w:tcBorders>
              <w:right w:val="single" w:sz="8" w:color="auto"/>
            </w:tcBorders>
          </w:tcPr>
          <w:p>
            <w:pPr>
              <w:spacing w:after="0"/>
              <w:rPr>
                <w:sz w:val="12"/>
                <w:szCs w:val="12"/>
                <w:color w:val="auto"/>
              </w:rPr>
            </w:pPr>
          </w:p>
        </w:tc>
        <w:tc>
          <w:tcPr>
            <w:tcW w:w="8240" w:type="dxa"/>
            <w:vAlign w:val="bottom"/>
            <w:tcBorders>
              <w:right w:val="single" w:sz="8" w:color="auto"/>
            </w:tcBorders>
            <w:gridSpan w:val="11"/>
          </w:tcPr>
          <w:p>
            <w:pPr>
              <w:spacing w:after="0" w:line="138" w:lineRule="exact"/>
              <w:rPr>
                <w:sz w:val="20"/>
                <w:szCs w:val="20"/>
                <w:color w:val="auto"/>
              </w:rPr>
            </w:pPr>
            <w:r>
              <w:rPr>
                <w:rFonts w:ascii="Times New Roman" w:cs="Times New Roman" w:eastAsia="Times New Roman" w:hAnsi="Times New Roman"/>
                <w:sz w:val="16"/>
                <w:szCs w:val="16"/>
                <w:color w:val="0000EE"/>
              </w:rPr>
              <w:t>Form of Executive Officer Stock Option Agreement</w:t>
            </w:r>
          </w:p>
        </w:tc>
      </w:tr>
      <w:tr>
        <w:trPr>
          <w:trHeight w:val="20"/>
        </w:trPr>
        <w:tc>
          <w:tcPr>
            <w:tcW w:w="1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2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4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r>
      <w:tr>
        <w:trPr>
          <w:trHeight w:val="138"/>
        </w:trPr>
        <w:tc>
          <w:tcPr>
            <w:tcW w:w="1500" w:type="dxa"/>
            <w:vAlign w:val="bottom"/>
            <w:tcBorders>
              <w:left w:val="single" w:sz="8" w:color="auto"/>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6"/>
                <w:szCs w:val="16"/>
                <w:color w:val="auto"/>
              </w:rPr>
              <w:t>10.5‡</w:t>
            </w:r>
          </w:p>
        </w:tc>
        <w:tc>
          <w:tcPr>
            <w:tcW w:w="200" w:type="dxa"/>
            <w:vAlign w:val="bottom"/>
            <w:tcBorders>
              <w:right w:val="single" w:sz="8" w:color="auto"/>
            </w:tcBorders>
          </w:tcPr>
          <w:p>
            <w:pPr>
              <w:spacing w:after="0"/>
              <w:rPr>
                <w:sz w:val="12"/>
                <w:szCs w:val="12"/>
                <w:color w:val="auto"/>
              </w:rPr>
            </w:pPr>
          </w:p>
        </w:tc>
        <w:tc>
          <w:tcPr>
            <w:tcW w:w="8240" w:type="dxa"/>
            <w:vAlign w:val="bottom"/>
            <w:tcBorders>
              <w:right w:val="single" w:sz="8" w:color="auto"/>
            </w:tcBorders>
            <w:gridSpan w:val="11"/>
          </w:tcPr>
          <w:p>
            <w:pPr>
              <w:spacing w:after="0" w:line="138" w:lineRule="exact"/>
              <w:rPr>
                <w:sz w:val="20"/>
                <w:szCs w:val="20"/>
                <w:color w:val="auto"/>
              </w:rPr>
            </w:pPr>
            <w:r>
              <w:rPr>
                <w:rFonts w:ascii="Times New Roman" w:cs="Times New Roman" w:eastAsia="Times New Roman" w:hAnsi="Times New Roman"/>
                <w:sz w:val="16"/>
                <w:szCs w:val="16"/>
                <w:color w:val="0000EE"/>
              </w:rPr>
              <w:t>Amended Gould Employment Agreement</w:t>
            </w:r>
          </w:p>
        </w:tc>
      </w:tr>
      <w:tr>
        <w:trPr>
          <w:trHeight w:val="20"/>
        </w:trPr>
        <w:tc>
          <w:tcPr>
            <w:tcW w:w="1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2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r>
      <w:tr>
        <w:trPr>
          <w:trHeight w:val="138"/>
        </w:trPr>
        <w:tc>
          <w:tcPr>
            <w:tcW w:w="1500" w:type="dxa"/>
            <w:vAlign w:val="bottom"/>
            <w:tcBorders>
              <w:left w:val="single" w:sz="8" w:color="auto"/>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6"/>
                <w:szCs w:val="16"/>
                <w:color w:val="auto"/>
              </w:rPr>
              <w:t>10.6‡</w:t>
            </w:r>
          </w:p>
        </w:tc>
        <w:tc>
          <w:tcPr>
            <w:tcW w:w="200" w:type="dxa"/>
            <w:vAlign w:val="bottom"/>
            <w:tcBorders>
              <w:right w:val="single" w:sz="8" w:color="auto"/>
            </w:tcBorders>
          </w:tcPr>
          <w:p>
            <w:pPr>
              <w:spacing w:after="0"/>
              <w:rPr>
                <w:sz w:val="12"/>
                <w:szCs w:val="12"/>
                <w:color w:val="auto"/>
              </w:rPr>
            </w:pPr>
          </w:p>
        </w:tc>
        <w:tc>
          <w:tcPr>
            <w:tcW w:w="8240" w:type="dxa"/>
            <w:vAlign w:val="bottom"/>
            <w:tcBorders>
              <w:right w:val="single" w:sz="8" w:color="auto"/>
            </w:tcBorders>
            <w:gridSpan w:val="11"/>
          </w:tcPr>
          <w:p>
            <w:pPr>
              <w:spacing w:after="0" w:line="138" w:lineRule="exact"/>
              <w:rPr>
                <w:sz w:val="20"/>
                <w:szCs w:val="20"/>
                <w:color w:val="auto"/>
              </w:rPr>
            </w:pPr>
            <w:r>
              <w:rPr>
                <w:rFonts w:ascii="Times New Roman" w:cs="Times New Roman" w:eastAsia="Times New Roman" w:hAnsi="Times New Roman"/>
                <w:sz w:val="16"/>
                <w:szCs w:val="16"/>
                <w:color w:val="0000EE"/>
              </w:rPr>
              <w:t>Amended Shane Employment Agreement</w:t>
            </w:r>
          </w:p>
        </w:tc>
      </w:tr>
      <w:tr>
        <w:trPr>
          <w:trHeight w:val="20"/>
        </w:trPr>
        <w:tc>
          <w:tcPr>
            <w:tcW w:w="1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2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r>
      <w:tr>
        <w:trPr>
          <w:trHeight w:val="138"/>
        </w:trPr>
        <w:tc>
          <w:tcPr>
            <w:tcW w:w="1500" w:type="dxa"/>
            <w:vAlign w:val="bottom"/>
            <w:tcBorders>
              <w:left w:val="single" w:sz="8" w:color="auto"/>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6"/>
                <w:szCs w:val="16"/>
                <w:color w:val="auto"/>
              </w:rPr>
              <w:t>31.1*</w:t>
            </w:r>
          </w:p>
        </w:tc>
        <w:tc>
          <w:tcPr>
            <w:tcW w:w="200" w:type="dxa"/>
            <w:vAlign w:val="bottom"/>
            <w:tcBorders>
              <w:right w:val="single" w:sz="8" w:color="auto"/>
            </w:tcBorders>
          </w:tcPr>
          <w:p>
            <w:pPr>
              <w:spacing w:after="0"/>
              <w:rPr>
                <w:sz w:val="12"/>
                <w:szCs w:val="12"/>
                <w:color w:val="auto"/>
              </w:rPr>
            </w:pPr>
          </w:p>
        </w:tc>
        <w:tc>
          <w:tcPr>
            <w:tcW w:w="8000" w:type="dxa"/>
            <w:vAlign w:val="bottom"/>
            <w:tcBorders>
              <w:bottom w:val="single" w:sz="8" w:color="0000EE"/>
            </w:tcBorders>
            <w:gridSpan w:val="10"/>
          </w:tcPr>
          <w:p>
            <w:pPr>
              <w:spacing w:after="0" w:line="138" w:lineRule="exact"/>
              <w:rPr>
                <w:sz w:val="20"/>
                <w:szCs w:val="20"/>
                <w:color w:val="auto"/>
              </w:rPr>
            </w:pPr>
            <w:r>
              <w:rPr>
                <w:rFonts w:ascii="Times New Roman" w:cs="Times New Roman" w:eastAsia="Times New Roman" w:hAnsi="Times New Roman"/>
                <w:sz w:val="16"/>
                <w:szCs w:val="16"/>
                <w:color w:val="0000EE"/>
                <w:w w:val="96"/>
              </w:rPr>
              <w:t>Certification of Craig Gould, Chief Executive Officer, pursuant to Rule 13a-14(a) under the Securities Exchange Act of 1934, as</w:t>
            </w:r>
          </w:p>
        </w:tc>
        <w:tc>
          <w:tcPr>
            <w:tcW w:w="240" w:type="dxa"/>
            <w:vAlign w:val="bottom"/>
            <w:tcBorders>
              <w:right w:val="single" w:sz="8" w:color="auto"/>
            </w:tcBorders>
          </w:tcPr>
          <w:p>
            <w:pPr>
              <w:spacing w:after="0"/>
              <w:rPr>
                <w:sz w:val="12"/>
                <w:szCs w:val="12"/>
                <w:color w:val="auto"/>
              </w:rPr>
            </w:pPr>
          </w:p>
        </w:tc>
      </w:tr>
      <w:tr>
        <w:trPr>
          <w:trHeight w:val="167"/>
        </w:trPr>
        <w:tc>
          <w:tcPr>
            <w:tcW w:w="1500" w:type="dxa"/>
            <w:vAlign w:val="bottom"/>
            <w:tcBorders>
              <w:left w:val="single" w:sz="8" w:color="auto"/>
              <w:right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8240" w:type="dxa"/>
            <w:vAlign w:val="bottom"/>
            <w:tcBorders>
              <w:right w:val="single" w:sz="8" w:color="auto"/>
            </w:tcBorders>
            <w:gridSpan w:val="11"/>
          </w:tcPr>
          <w:p>
            <w:pPr>
              <w:spacing w:after="0" w:line="167" w:lineRule="exact"/>
              <w:rPr>
                <w:sz w:val="20"/>
                <w:szCs w:val="20"/>
                <w:color w:val="auto"/>
              </w:rPr>
            </w:pPr>
            <w:r>
              <w:rPr>
                <w:rFonts w:ascii="Times New Roman" w:cs="Times New Roman" w:eastAsia="Times New Roman" w:hAnsi="Times New Roman"/>
                <w:sz w:val="16"/>
                <w:szCs w:val="16"/>
                <w:color w:val="0000EE"/>
              </w:rPr>
              <w:t>amended.</w:t>
            </w:r>
          </w:p>
        </w:tc>
      </w:tr>
      <w:tr>
        <w:trPr>
          <w:trHeight w:val="20"/>
        </w:trPr>
        <w:tc>
          <w:tcPr>
            <w:tcW w:w="1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r>
      <w:tr>
        <w:trPr>
          <w:trHeight w:val="138"/>
        </w:trPr>
        <w:tc>
          <w:tcPr>
            <w:tcW w:w="1500" w:type="dxa"/>
            <w:vAlign w:val="bottom"/>
            <w:tcBorders>
              <w:left w:val="single" w:sz="8" w:color="auto"/>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6"/>
                <w:szCs w:val="16"/>
                <w:color w:val="auto"/>
              </w:rPr>
              <w:t>31.2*</w:t>
            </w:r>
          </w:p>
        </w:tc>
        <w:tc>
          <w:tcPr>
            <w:tcW w:w="200" w:type="dxa"/>
            <w:vAlign w:val="bottom"/>
            <w:tcBorders>
              <w:right w:val="single" w:sz="8" w:color="auto"/>
            </w:tcBorders>
          </w:tcPr>
          <w:p>
            <w:pPr>
              <w:spacing w:after="0"/>
              <w:rPr>
                <w:sz w:val="12"/>
                <w:szCs w:val="12"/>
                <w:color w:val="auto"/>
              </w:rPr>
            </w:pPr>
          </w:p>
        </w:tc>
        <w:tc>
          <w:tcPr>
            <w:tcW w:w="7980" w:type="dxa"/>
            <w:vAlign w:val="bottom"/>
            <w:tcBorders>
              <w:bottom w:val="single" w:sz="8" w:color="0000EE"/>
            </w:tcBorders>
            <w:gridSpan w:val="9"/>
          </w:tcPr>
          <w:p>
            <w:pPr>
              <w:spacing w:after="0" w:line="138" w:lineRule="exact"/>
              <w:rPr>
                <w:sz w:val="20"/>
                <w:szCs w:val="20"/>
                <w:color w:val="auto"/>
              </w:rPr>
            </w:pPr>
            <w:r>
              <w:rPr>
                <w:rFonts w:ascii="Times New Roman" w:cs="Times New Roman" w:eastAsia="Times New Roman" w:hAnsi="Times New Roman"/>
                <w:sz w:val="16"/>
                <w:szCs w:val="16"/>
                <w:color w:val="0000EE"/>
                <w:w w:val="96"/>
              </w:rPr>
              <w:t>Certification of David Shane, Chief Financial Officer, pursuant to Rule 13a-14(a) under the Securities Exchange Act of 1934, as</w:t>
            </w:r>
          </w:p>
        </w:tc>
        <w:tc>
          <w:tcPr>
            <w:tcW w:w="260" w:type="dxa"/>
            <w:vAlign w:val="bottom"/>
            <w:tcBorders>
              <w:right w:val="single" w:sz="8" w:color="auto"/>
            </w:tcBorders>
            <w:gridSpan w:val="2"/>
          </w:tcPr>
          <w:p>
            <w:pPr>
              <w:spacing w:after="0"/>
              <w:rPr>
                <w:sz w:val="12"/>
                <w:szCs w:val="12"/>
                <w:color w:val="auto"/>
              </w:rPr>
            </w:pPr>
          </w:p>
        </w:tc>
      </w:tr>
      <w:tr>
        <w:trPr>
          <w:trHeight w:val="167"/>
        </w:trPr>
        <w:tc>
          <w:tcPr>
            <w:tcW w:w="1500" w:type="dxa"/>
            <w:vAlign w:val="bottom"/>
            <w:tcBorders>
              <w:left w:val="single" w:sz="8" w:color="auto"/>
              <w:right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8240" w:type="dxa"/>
            <w:vAlign w:val="bottom"/>
            <w:tcBorders>
              <w:right w:val="single" w:sz="8" w:color="auto"/>
            </w:tcBorders>
            <w:gridSpan w:val="11"/>
          </w:tcPr>
          <w:p>
            <w:pPr>
              <w:spacing w:after="0" w:line="167" w:lineRule="exact"/>
              <w:rPr>
                <w:sz w:val="20"/>
                <w:szCs w:val="20"/>
                <w:color w:val="auto"/>
              </w:rPr>
            </w:pPr>
            <w:r>
              <w:rPr>
                <w:rFonts w:ascii="Times New Roman" w:cs="Times New Roman" w:eastAsia="Times New Roman" w:hAnsi="Times New Roman"/>
                <w:sz w:val="16"/>
                <w:szCs w:val="16"/>
                <w:color w:val="0000EE"/>
              </w:rPr>
              <w:t>amended.</w:t>
            </w:r>
          </w:p>
        </w:tc>
      </w:tr>
      <w:tr>
        <w:trPr>
          <w:trHeight w:val="20"/>
        </w:trPr>
        <w:tc>
          <w:tcPr>
            <w:tcW w:w="1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r>
      <w:tr>
        <w:trPr>
          <w:trHeight w:val="138"/>
        </w:trPr>
        <w:tc>
          <w:tcPr>
            <w:tcW w:w="1500" w:type="dxa"/>
            <w:vAlign w:val="bottom"/>
            <w:tcBorders>
              <w:left w:val="single" w:sz="8" w:color="auto"/>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6"/>
                <w:szCs w:val="16"/>
                <w:color w:val="auto"/>
              </w:rPr>
              <w:t>32.1**</w:t>
            </w:r>
          </w:p>
        </w:tc>
        <w:tc>
          <w:tcPr>
            <w:tcW w:w="200" w:type="dxa"/>
            <w:vAlign w:val="bottom"/>
            <w:tcBorders>
              <w:right w:val="single" w:sz="8" w:color="auto"/>
            </w:tcBorders>
          </w:tcPr>
          <w:p>
            <w:pPr>
              <w:spacing w:after="0"/>
              <w:rPr>
                <w:sz w:val="12"/>
                <w:szCs w:val="12"/>
                <w:color w:val="auto"/>
              </w:rPr>
            </w:pPr>
          </w:p>
        </w:tc>
        <w:tc>
          <w:tcPr>
            <w:tcW w:w="8240" w:type="dxa"/>
            <w:vAlign w:val="bottom"/>
            <w:tcBorders>
              <w:right w:val="single" w:sz="8" w:color="auto"/>
            </w:tcBorders>
            <w:gridSpan w:val="11"/>
          </w:tcPr>
          <w:p>
            <w:pPr>
              <w:spacing w:after="0" w:line="138" w:lineRule="exact"/>
              <w:rPr>
                <w:sz w:val="20"/>
                <w:szCs w:val="20"/>
                <w:color w:val="auto"/>
              </w:rPr>
            </w:pPr>
            <w:r>
              <w:rPr>
                <w:rFonts w:ascii="Times New Roman" w:cs="Times New Roman" w:eastAsia="Times New Roman" w:hAnsi="Times New Roman"/>
                <w:sz w:val="16"/>
                <w:szCs w:val="16"/>
                <w:color w:val="0000EE"/>
                <w:w w:val="99"/>
              </w:rPr>
              <w:t>Certification of Craig Gould, Chief Executive Officer, pursuant to Rule 13a-14(b) under the Securities Exchange Act of 1934, as</w:t>
            </w:r>
          </w:p>
        </w:tc>
      </w:tr>
      <w:tr>
        <w:trPr>
          <w:trHeight w:val="167"/>
        </w:trPr>
        <w:tc>
          <w:tcPr>
            <w:tcW w:w="1500" w:type="dxa"/>
            <w:vAlign w:val="bottom"/>
            <w:tcBorders>
              <w:left w:val="single" w:sz="8" w:color="auto"/>
              <w:right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8000" w:type="dxa"/>
            <w:vAlign w:val="bottom"/>
            <w:tcBorders>
              <w:top w:val="single" w:sz="8" w:color="0000EE"/>
            </w:tcBorders>
            <w:gridSpan w:val="10"/>
          </w:tcPr>
          <w:p>
            <w:pPr>
              <w:spacing w:after="0" w:line="167" w:lineRule="exact"/>
              <w:rPr>
                <w:sz w:val="20"/>
                <w:szCs w:val="20"/>
                <w:color w:val="auto"/>
              </w:rPr>
            </w:pPr>
            <w:r>
              <w:rPr>
                <w:rFonts w:ascii="Times New Roman" w:cs="Times New Roman" w:eastAsia="Times New Roman" w:hAnsi="Times New Roman"/>
                <w:sz w:val="16"/>
                <w:szCs w:val="16"/>
                <w:color w:val="0000EE"/>
              </w:rPr>
              <w:t>amended, and 18 U.S.C. § 1350.</w:t>
            </w:r>
          </w:p>
        </w:tc>
        <w:tc>
          <w:tcPr>
            <w:tcW w:w="240" w:type="dxa"/>
            <w:vAlign w:val="bottom"/>
            <w:tcBorders>
              <w:right w:val="single" w:sz="8" w:color="auto"/>
            </w:tcBorders>
          </w:tcPr>
          <w:p>
            <w:pPr>
              <w:spacing w:after="0"/>
              <w:rPr>
                <w:sz w:val="14"/>
                <w:szCs w:val="14"/>
                <w:color w:val="auto"/>
              </w:rPr>
            </w:pPr>
          </w:p>
        </w:tc>
      </w:tr>
      <w:tr>
        <w:trPr>
          <w:trHeight w:val="20"/>
        </w:trPr>
        <w:tc>
          <w:tcPr>
            <w:tcW w:w="1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2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r>
      <w:tr>
        <w:trPr>
          <w:trHeight w:val="138"/>
        </w:trPr>
        <w:tc>
          <w:tcPr>
            <w:tcW w:w="1500" w:type="dxa"/>
            <w:vAlign w:val="bottom"/>
            <w:tcBorders>
              <w:left w:val="single" w:sz="8" w:color="auto"/>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6"/>
                <w:szCs w:val="16"/>
                <w:color w:val="auto"/>
              </w:rPr>
              <w:t>32.2**</w:t>
            </w:r>
          </w:p>
        </w:tc>
        <w:tc>
          <w:tcPr>
            <w:tcW w:w="200" w:type="dxa"/>
            <w:vAlign w:val="bottom"/>
            <w:tcBorders>
              <w:right w:val="single" w:sz="8" w:color="auto"/>
            </w:tcBorders>
          </w:tcPr>
          <w:p>
            <w:pPr>
              <w:spacing w:after="0"/>
              <w:rPr>
                <w:sz w:val="12"/>
                <w:szCs w:val="12"/>
                <w:color w:val="auto"/>
              </w:rPr>
            </w:pPr>
          </w:p>
        </w:tc>
        <w:tc>
          <w:tcPr>
            <w:tcW w:w="8240" w:type="dxa"/>
            <w:vAlign w:val="bottom"/>
            <w:tcBorders>
              <w:right w:val="single" w:sz="8" w:color="auto"/>
            </w:tcBorders>
            <w:gridSpan w:val="11"/>
          </w:tcPr>
          <w:p>
            <w:pPr>
              <w:spacing w:after="0" w:line="138" w:lineRule="exact"/>
              <w:rPr>
                <w:sz w:val="20"/>
                <w:szCs w:val="20"/>
                <w:color w:val="auto"/>
              </w:rPr>
            </w:pPr>
            <w:r>
              <w:rPr>
                <w:rFonts w:ascii="Times New Roman" w:cs="Times New Roman" w:eastAsia="Times New Roman" w:hAnsi="Times New Roman"/>
                <w:sz w:val="16"/>
                <w:szCs w:val="16"/>
                <w:color w:val="0000EE"/>
                <w:w w:val="99"/>
              </w:rPr>
              <w:t>Certification of David Shane, Chief Financial Officer, pursuant to Rule 13a-14(b) under the Securities Exchange Act of 1934, as</w:t>
            </w:r>
          </w:p>
        </w:tc>
      </w:tr>
      <w:tr>
        <w:trPr>
          <w:trHeight w:val="167"/>
        </w:trPr>
        <w:tc>
          <w:tcPr>
            <w:tcW w:w="1500" w:type="dxa"/>
            <w:vAlign w:val="bottom"/>
            <w:tcBorders>
              <w:left w:val="single" w:sz="8" w:color="auto"/>
              <w:right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7980" w:type="dxa"/>
            <w:vAlign w:val="bottom"/>
            <w:tcBorders>
              <w:top w:val="single" w:sz="8" w:color="0000EE"/>
            </w:tcBorders>
            <w:gridSpan w:val="9"/>
          </w:tcPr>
          <w:p>
            <w:pPr>
              <w:spacing w:after="0" w:line="167" w:lineRule="exact"/>
              <w:rPr>
                <w:sz w:val="20"/>
                <w:szCs w:val="20"/>
                <w:color w:val="auto"/>
              </w:rPr>
            </w:pPr>
            <w:r>
              <w:rPr>
                <w:rFonts w:ascii="Times New Roman" w:cs="Times New Roman" w:eastAsia="Times New Roman" w:hAnsi="Times New Roman"/>
                <w:sz w:val="16"/>
                <w:szCs w:val="16"/>
                <w:color w:val="0000EE"/>
              </w:rPr>
              <w:t>amended, and 18 U.S.C. § 1350.</w:t>
            </w:r>
          </w:p>
        </w:tc>
        <w:tc>
          <w:tcPr>
            <w:tcW w:w="260" w:type="dxa"/>
            <w:vAlign w:val="bottom"/>
            <w:tcBorders>
              <w:right w:val="single" w:sz="8" w:color="auto"/>
            </w:tcBorders>
            <w:gridSpan w:val="2"/>
          </w:tcPr>
          <w:p>
            <w:pPr>
              <w:spacing w:after="0"/>
              <w:rPr>
                <w:sz w:val="14"/>
                <w:szCs w:val="14"/>
                <w:color w:val="auto"/>
              </w:rPr>
            </w:pPr>
          </w:p>
        </w:tc>
      </w:tr>
      <w:tr>
        <w:trPr>
          <w:trHeight w:val="20"/>
        </w:trPr>
        <w:tc>
          <w:tcPr>
            <w:tcW w:w="1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2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r>
      <w:tr>
        <w:trPr>
          <w:trHeight w:val="173"/>
        </w:trPr>
        <w:tc>
          <w:tcPr>
            <w:tcW w:w="1500" w:type="dxa"/>
            <w:vAlign w:val="bottom"/>
            <w:tcBorders>
              <w:left w:val="single" w:sz="8" w:color="auto"/>
              <w:bottom w:val="single" w:sz="8" w:color="auto"/>
              <w:right w:val="single" w:sz="8" w:color="auto"/>
            </w:tcBorders>
          </w:tcPr>
          <w:p>
            <w:pPr>
              <w:ind w:left="20"/>
              <w:spacing w:after="0" w:line="174" w:lineRule="exact"/>
              <w:rPr>
                <w:sz w:val="20"/>
                <w:szCs w:val="20"/>
                <w:color w:val="auto"/>
              </w:rPr>
            </w:pPr>
            <w:r>
              <w:rPr>
                <w:rFonts w:ascii="Times New Roman" w:cs="Times New Roman" w:eastAsia="Times New Roman" w:hAnsi="Times New Roman"/>
                <w:sz w:val="16"/>
                <w:szCs w:val="16"/>
                <w:color w:val="auto"/>
              </w:rPr>
              <w:t>101.INS</w:t>
            </w:r>
          </w:p>
        </w:tc>
        <w:tc>
          <w:tcPr>
            <w:tcW w:w="200" w:type="dxa"/>
            <w:vAlign w:val="bottom"/>
            <w:tcBorders>
              <w:bottom w:val="single" w:sz="8" w:color="auto"/>
              <w:right w:val="single" w:sz="8" w:color="auto"/>
            </w:tcBorders>
          </w:tcPr>
          <w:p>
            <w:pPr>
              <w:spacing w:after="0"/>
              <w:rPr>
                <w:sz w:val="15"/>
                <w:szCs w:val="15"/>
                <w:color w:val="auto"/>
              </w:rPr>
            </w:pPr>
          </w:p>
        </w:tc>
        <w:tc>
          <w:tcPr>
            <w:tcW w:w="8240" w:type="dxa"/>
            <w:vAlign w:val="bottom"/>
            <w:tcBorders>
              <w:bottom w:val="single" w:sz="8" w:color="auto"/>
              <w:right w:val="single" w:sz="8" w:color="auto"/>
            </w:tcBorders>
            <w:gridSpan w:val="11"/>
          </w:tcPr>
          <w:p>
            <w:pPr>
              <w:spacing w:after="0" w:line="174" w:lineRule="exact"/>
              <w:rPr>
                <w:sz w:val="20"/>
                <w:szCs w:val="20"/>
                <w:color w:val="auto"/>
              </w:rPr>
            </w:pPr>
            <w:r>
              <w:rPr>
                <w:rFonts w:ascii="Times New Roman" w:cs="Times New Roman" w:eastAsia="Times New Roman" w:hAnsi="Times New Roman"/>
                <w:sz w:val="16"/>
                <w:szCs w:val="16"/>
                <w:color w:val="auto"/>
              </w:rPr>
              <w:t>XBRL Instance Document</w:t>
            </w:r>
          </w:p>
        </w:tc>
      </w:tr>
      <w:tr>
        <w:trPr>
          <w:trHeight w:val="178"/>
        </w:trPr>
        <w:tc>
          <w:tcPr>
            <w:tcW w:w="1500" w:type="dxa"/>
            <w:vAlign w:val="bottom"/>
            <w:tcBorders>
              <w:left w:val="single" w:sz="8" w:color="auto"/>
              <w:bottom w:val="single" w:sz="8" w:color="auto"/>
              <w:right w:val="single" w:sz="8" w:color="auto"/>
            </w:tcBorders>
          </w:tcPr>
          <w:p>
            <w:pPr>
              <w:ind w:left="20"/>
              <w:spacing w:after="0" w:line="178" w:lineRule="exact"/>
              <w:rPr>
                <w:sz w:val="20"/>
                <w:szCs w:val="20"/>
                <w:color w:val="auto"/>
              </w:rPr>
            </w:pPr>
            <w:r>
              <w:rPr>
                <w:rFonts w:ascii="Times New Roman" w:cs="Times New Roman" w:eastAsia="Times New Roman" w:hAnsi="Times New Roman"/>
                <w:sz w:val="16"/>
                <w:szCs w:val="16"/>
                <w:color w:val="auto"/>
              </w:rPr>
              <w:t>101.CAL</w:t>
            </w:r>
          </w:p>
        </w:tc>
        <w:tc>
          <w:tcPr>
            <w:tcW w:w="200" w:type="dxa"/>
            <w:vAlign w:val="bottom"/>
            <w:tcBorders>
              <w:bottom w:val="single" w:sz="8" w:color="auto"/>
              <w:right w:val="single" w:sz="8" w:color="auto"/>
            </w:tcBorders>
          </w:tcPr>
          <w:p>
            <w:pPr>
              <w:spacing w:after="0"/>
              <w:rPr>
                <w:sz w:val="15"/>
                <w:szCs w:val="15"/>
                <w:color w:val="auto"/>
              </w:rPr>
            </w:pPr>
          </w:p>
        </w:tc>
        <w:tc>
          <w:tcPr>
            <w:tcW w:w="8240" w:type="dxa"/>
            <w:vAlign w:val="bottom"/>
            <w:tcBorders>
              <w:bottom w:val="single" w:sz="8" w:color="auto"/>
              <w:right w:val="single" w:sz="8" w:color="auto"/>
            </w:tcBorders>
            <w:gridSpan w:val="11"/>
          </w:tcPr>
          <w:p>
            <w:pPr>
              <w:spacing w:after="0" w:line="178" w:lineRule="exact"/>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178"/>
        </w:trPr>
        <w:tc>
          <w:tcPr>
            <w:tcW w:w="1500" w:type="dxa"/>
            <w:vAlign w:val="bottom"/>
            <w:tcBorders>
              <w:left w:val="single" w:sz="8" w:color="auto"/>
              <w:bottom w:val="single" w:sz="8" w:color="auto"/>
              <w:right w:val="single" w:sz="8" w:color="auto"/>
            </w:tcBorders>
          </w:tcPr>
          <w:p>
            <w:pPr>
              <w:ind w:left="20"/>
              <w:spacing w:after="0" w:line="178" w:lineRule="exact"/>
              <w:rPr>
                <w:sz w:val="20"/>
                <w:szCs w:val="20"/>
                <w:color w:val="auto"/>
              </w:rPr>
            </w:pPr>
            <w:r>
              <w:rPr>
                <w:rFonts w:ascii="Times New Roman" w:cs="Times New Roman" w:eastAsia="Times New Roman" w:hAnsi="Times New Roman"/>
                <w:sz w:val="16"/>
                <w:szCs w:val="16"/>
                <w:color w:val="auto"/>
              </w:rPr>
              <w:t>101.SCH</w:t>
            </w:r>
          </w:p>
        </w:tc>
        <w:tc>
          <w:tcPr>
            <w:tcW w:w="200" w:type="dxa"/>
            <w:vAlign w:val="bottom"/>
            <w:tcBorders>
              <w:bottom w:val="single" w:sz="8" w:color="auto"/>
              <w:right w:val="single" w:sz="8" w:color="auto"/>
            </w:tcBorders>
          </w:tcPr>
          <w:p>
            <w:pPr>
              <w:spacing w:after="0"/>
              <w:rPr>
                <w:sz w:val="15"/>
                <w:szCs w:val="15"/>
                <w:color w:val="auto"/>
              </w:rPr>
            </w:pPr>
          </w:p>
        </w:tc>
        <w:tc>
          <w:tcPr>
            <w:tcW w:w="8240" w:type="dxa"/>
            <w:vAlign w:val="bottom"/>
            <w:tcBorders>
              <w:bottom w:val="single" w:sz="8" w:color="auto"/>
              <w:right w:val="single" w:sz="8" w:color="auto"/>
            </w:tcBorders>
            <w:gridSpan w:val="11"/>
          </w:tcPr>
          <w:p>
            <w:pPr>
              <w:spacing w:after="0" w:line="178" w:lineRule="exact"/>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178"/>
        </w:trPr>
        <w:tc>
          <w:tcPr>
            <w:tcW w:w="1500" w:type="dxa"/>
            <w:vAlign w:val="bottom"/>
            <w:tcBorders>
              <w:left w:val="single" w:sz="8" w:color="auto"/>
              <w:bottom w:val="single" w:sz="8" w:color="auto"/>
              <w:right w:val="single" w:sz="8" w:color="auto"/>
            </w:tcBorders>
          </w:tcPr>
          <w:p>
            <w:pPr>
              <w:ind w:left="20"/>
              <w:spacing w:after="0" w:line="178" w:lineRule="exact"/>
              <w:rPr>
                <w:sz w:val="20"/>
                <w:szCs w:val="20"/>
                <w:color w:val="auto"/>
              </w:rPr>
            </w:pPr>
            <w:r>
              <w:rPr>
                <w:rFonts w:ascii="Times New Roman" w:cs="Times New Roman" w:eastAsia="Times New Roman" w:hAnsi="Times New Roman"/>
                <w:sz w:val="16"/>
                <w:szCs w:val="16"/>
                <w:color w:val="auto"/>
              </w:rPr>
              <w:t>101.DEF</w:t>
            </w:r>
          </w:p>
        </w:tc>
        <w:tc>
          <w:tcPr>
            <w:tcW w:w="200" w:type="dxa"/>
            <w:vAlign w:val="bottom"/>
            <w:tcBorders>
              <w:bottom w:val="single" w:sz="8" w:color="auto"/>
              <w:right w:val="single" w:sz="8" w:color="auto"/>
            </w:tcBorders>
          </w:tcPr>
          <w:p>
            <w:pPr>
              <w:spacing w:after="0"/>
              <w:rPr>
                <w:sz w:val="15"/>
                <w:szCs w:val="15"/>
                <w:color w:val="auto"/>
              </w:rPr>
            </w:pPr>
          </w:p>
        </w:tc>
        <w:tc>
          <w:tcPr>
            <w:tcW w:w="8240" w:type="dxa"/>
            <w:vAlign w:val="bottom"/>
            <w:tcBorders>
              <w:bottom w:val="single" w:sz="8" w:color="auto"/>
              <w:right w:val="single" w:sz="8" w:color="auto"/>
            </w:tcBorders>
            <w:gridSpan w:val="11"/>
          </w:tcPr>
          <w:p>
            <w:pPr>
              <w:spacing w:after="0" w:line="178" w:lineRule="exact"/>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178"/>
        </w:trPr>
        <w:tc>
          <w:tcPr>
            <w:tcW w:w="1500" w:type="dxa"/>
            <w:vAlign w:val="bottom"/>
            <w:tcBorders>
              <w:left w:val="single" w:sz="8" w:color="auto"/>
              <w:bottom w:val="single" w:sz="8" w:color="auto"/>
              <w:right w:val="single" w:sz="8" w:color="auto"/>
            </w:tcBorders>
          </w:tcPr>
          <w:p>
            <w:pPr>
              <w:ind w:left="20"/>
              <w:spacing w:after="0" w:line="178" w:lineRule="exact"/>
              <w:rPr>
                <w:sz w:val="20"/>
                <w:szCs w:val="20"/>
                <w:color w:val="auto"/>
              </w:rPr>
            </w:pPr>
            <w:r>
              <w:rPr>
                <w:rFonts w:ascii="Times New Roman" w:cs="Times New Roman" w:eastAsia="Times New Roman" w:hAnsi="Times New Roman"/>
                <w:sz w:val="16"/>
                <w:szCs w:val="16"/>
                <w:color w:val="auto"/>
              </w:rPr>
              <w:t>101.LAB</w:t>
            </w:r>
          </w:p>
        </w:tc>
        <w:tc>
          <w:tcPr>
            <w:tcW w:w="200" w:type="dxa"/>
            <w:vAlign w:val="bottom"/>
            <w:tcBorders>
              <w:bottom w:val="single" w:sz="8" w:color="auto"/>
              <w:right w:val="single" w:sz="8" w:color="auto"/>
            </w:tcBorders>
          </w:tcPr>
          <w:p>
            <w:pPr>
              <w:spacing w:after="0"/>
              <w:rPr>
                <w:sz w:val="15"/>
                <w:szCs w:val="15"/>
                <w:color w:val="auto"/>
              </w:rPr>
            </w:pPr>
          </w:p>
        </w:tc>
        <w:tc>
          <w:tcPr>
            <w:tcW w:w="8240" w:type="dxa"/>
            <w:vAlign w:val="bottom"/>
            <w:tcBorders>
              <w:bottom w:val="single" w:sz="8" w:color="auto"/>
              <w:right w:val="single" w:sz="8" w:color="auto"/>
            </w:tcBorders>
            <w:gridSpan w:val="11"/>
          </w:tcPr>
          <w:p>
            <w:pPr>
              <w:spacing w:after="0" w:line="178" w:lineRule="exact"/>
              <w:rPr>
                <w:sz w:val="20"/>
                <w:szCs w:val="20"/>
                <w:color w:val="auto"/>
              </w:rPr>
            </w:pPr>
            <w:r>
              <w:rPr>
                <w:rFonts w:ascii="Times New Roman" w:cs="Times New Roman" w:eastAsia="Times New Roman" w:hAnsi="Times New Roman"/>
                <w:sz w:val="16"/>
                <w:szCs w:val="16"/>
                <w:color w:val="auto"/>
              </w:rPr>
              <w:t>XBRL Taxonomy Extension Labels Linkbase Document</w:t>
            </w:r>
          </w:p>
        </w:tc>
      </w:tr>
      <w:tr>
        <w:trPr>
          <w:trHeight w:val="178"/>
        </w:trPr>
        <w:tc>
          <w:tcPr>
            <w:tcW w:w="1500" w:type="dxa"/>
            <w:vAlign w:val="bottom"/>
            <w:tcBorders>
              <w:left w:val="single" w:sz="8" w:color="auto"/>
              <w:bottom w:val="single" w:sz="8" w:color="auto"/>
              <w:right w:val="single" w:sz="8" w:color="auto"/>
            </w:tcBorders>
          </w:tcPr>
          <w:p>
            <w:pPr>
              <w:ind w:left="20"/>
              <w:spacing w:after="0" w:line="178" w:lineRule="exact"/>
              <w:rPr>
                <w:sz w:val="20"/>
                <w:szCs w:val="20"/>
                <w:color w:val="auto"/>
              </w:rPr>
            </w:pPr>
            <w:r>
              <w:rPr>
                <w:rFonts w:ascii="Times New Roman" w:cs="Times New Roman" w:eastAsia="Times New Roman" w:hAnsi="Times New Roman"/>
                <w:sz w:val="16"/>
                <w:szCs w:val="16"/>
                <w:color w:val="auto"/>
              </w:rPr>
              <w:t>101.PRE</w:t>
            </w:r>
          </w:p>
        </w:tc>
        <w:tc>
          <w:tcPr>
            <w:tcW w:w="200" w:type="dxa"/>
            <w:vAlign w:val="bottom"/>
            <w:tcBorders>
              <w:bottom w:val="single" w:sz="8" w:color="auto"/>
              <w:right w:val="single" w:sz="8" w:color="auto"/>
            </w:tcBorders>
          </w:tcPr>
          <w:p>
            <w:pPr>
              <w:spacing w:after="0"/>
              <w:rPr>
                <w:sz w:val="15"/>
                <w:szCs w:val="15"/>
                <w:color w:val="auto"/>
              </w:rPr>
            </w:pPr>
          </w:p>
        </w:tc>
        <w:tc>
          <w:tcPr>
            <w:tcW w:w="8240" w:type="dxa"/>
            <w:vAlign w:val="bottom"/>
            <w:tcBorders>
              <w:bottom w:val="single" w:sz="8" w:color="auto"/>
              <w:right w:val="single" w:sz="8" w:color="auto"/>
            </w:tcBorders>
            <w:gridSpan w:val="11"/>
          </w:tcPr>
          <w:p>
            <w:pPr>
              <w:spacing w:after="0" w:line="178" w:lineRule="exact"/>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r>
        <w:trPr>
          <w:trHeight w:val="178"/>
        </w:trPr>
        <w:tc>
          <w:tcPr>
            <w:tcW w:w="1500" w:type="dxa"/>
            <w:vAlign w:val="bottom"/>
            <w:tcBorders>
              <w:left w:val="single" w:sz="8" w:color="auto"/>
              <w:bottom w:val="single" w:sz="8" w:color="auto"/>
              <w:right w:val="single" w:sz="8" w:color="auto"/>
            </w:tcBorders>
          </w:tcPr>
          <w:p>
            <w:pPr>
              <w:ind w:left="20"/>
              <w:spacing w:after="0" w:line="178" w:lineRule="exact"/>
              <w:rPr>
                <w:sz w:val="20"/>
                <w:szCs w:val="20"/>
                <w:color w:val="auto"/>
              </w:rPr>
            </w:pPr>
            <w:r>
              <w:rPr>
                <w:rFonts w:ascii="Times New Roman" w:cs="Times New Roman" w:eastAsia="Times New Roman" w:hAnsi="Times New Roman"/>
                <w:sz w:val="16"/>
                <w:szCs w:val="16"/>
                <w:color w:val="auto"/>
              </w:rPr>
              <w:t>104</w:t>
            </w:r>
          </w:p>
        </w:tc>
        <w:tc>
          <w:tcPr>
            <w:tcW w:w="200" w:type="dxa"/>
            <w:vAlign w:val="bottom"/>
            <w:tcBorders>
              <w:bottom w:val="single" w:sz="8" w:color="auto"/>
              <w:right w:val="single" w:sz="8" w:color="auto"/>
            </w:tcBorders>
          </w:tcPr>
          <w:p>
            <w:pPr>
              <w:spacing w:after="0"/>
              <w:rPr>
                <w:sz w:val="15"/>
                <w:szCs w:val="15"/>
                <w:color w:val="auto"/>
              </w:rPr>
            </w:pPr>
          </w:p>
        </w:tc>
        <w:tc>
          <w:tcPr>
            <w:tcW w:w="8240" w:type="dxa"/>
            <w:vAlign w:val="bottom"/>
            <w:tcBorders>
              <w:bottom w:val="single" w:sz="8" w:color="auto"/>
              <w:right w:val="single" w:sz="8" w:color="auto"/>
            </w:tcBorders>
            <w:gridSpan w:val="11"/>
          </w:tcPr>
          <w:p>
            <w:pPr>
              <w:spacing w:after="0" w:line="178" w:lineRule="exact"/>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 Exhibit 101).</w:t>
            </w:r>
          </w:p>
        </w:tc>
      </w:tr>
      <w:tr>
        <w:trPr>
          <w:trHeight w:val="85"/>
        </w:trPr>
        <w:tc>
          <w:tcPr>
            <w:tcW w:w="15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74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Filed herewith</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Furnished herewith</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308610</wp:posOffset>
            </wp:positionV>
            <wp:extent cx="6306185" cy="146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06185" cy="14605"/>
                    </a:xfrm>
                    <a:prstGeom prst="rect">
                      <a:avLst/>
                    </a:prstGeom>
                    <a:noFill/>
                  </pic:spPr>
                </pic:pic>
              </a:graphicData>
            </a:graphic>
          </wp:anchor>
        </w:drawing>
      </w:r>
    </w:p>
    <w:p>
      <w:pPr>
        <w:sectPr>
          <w:pgSz w:w="11900" w:h="16838" w:orient="portrait"/>
          <w:cols w:equalWidth="0" w:num="1">
            <w:col w:w="9920"/>
          </w:cols>
          <w:pgMar w:left="980" w:top="461"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1" w:lineRule="exact"/>
        <w:rPr>
          <w:sz w:val="20"/>
          <w:szCs w:val="20"/>
          <w:color w:val="auto"/>
        </w:rPr>
      </w:pPr>
    </w:p>
    <w:p>
      <w:pPr>
        <w:ind w:firstLine="560"/>
        <w:spacing w:after="0" w:line="267" w:lineRule="auto"/>
        <w:rPr>
          <w:sz w:val="20"/>
          <w:szCs w:val="20"/>
          <w:color w:val="auto"/>
        </w:rPr>
      </w:pPr>
      <w:r>
        <w:rPr>
          <w:rFonts w:ascii="Times New Roman" w:cs="Times New Roman" w:eastAsia="Times New Roman" w:hAnsi="Times New Roman"/>
          <w:sz w:val="16"/>
          <w:szCs w:val="16"/>
          <w:color w:val="auto"/>
        </w:rPr>
        <w:t>In accordance with the requirements of the Exchange Act, the registrant caused this report to be signed on its behalf by the undersigned, thereunto duly authorized.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200" w:type="dxa"/>
            <w:vAlign w:val="bottom"/>
          </w:tcPr>
          <w:p>
            <w:pPr>
              <w:spacing w:after="0"/>
              <w:rPr>
                <w:sz w:val="17"/>
                <w:szCs w:val="17"/>
                <w:color w:val="auto"/>
              </w:rPr>
            </w:pPr>
          </w:p>
        </w:tc>
        <w:tc>
          <w:tcPr>
            <w:tcW w:w="6720" w:type="dxa"/>
            <w:vAlign w:val="bottom"/>
            <w:gridSpan w:val="2"/>
          </w:tcPr>
          <w:p>
            <w:pPr>
              <w:ind w:left="1780"/>
              <w:spacing w:after="0"/>
              <w:rPr>
                <w:sz w:val="20"/>
                <w:szCs w:val="20"/>
                <w:color w:val="auto"/>
              </w:rPr>
            </w:pPr>
            <w:r>
              <w:rPr>
                <w:rFonts w:ascii="Times New Roman" w:cs="Times New Roman" w:eastAsia="Times New Roman" w:hAnsi="Times New Roman"/>
                <w:sz w:val="16"/>
                <w:szCs w:val="16"/>
                <w:b w:val="1"/>
                <w:bCs w:val="1"/>
                <w:color w:val="auto"/>
              </w:rPr>
              <w:t>BINAH CAPITAL GROUP, INC.</w:t>
            </w:r>
          </w:p>
        </w:tc>
      </w:tr>
      <w:tr>
        <w:trPr>
          <w:trHeight w:val="373"/>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Date: August 13, 2025</w:t>
            </w:r>
          </w:p>
        </w:tc>
        <w:tc>
          <w:tcPr>
            <w:tcW w:w="236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By:</w:t>
            </w: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Craig Gould</w:t>
            </w:r>
          </w:p>
        </w:tc>
      </w:tr>
      <w:tr>
        <w:trPr>
          <w:trHeight w:val="162"/>
        </w:trPr>
        <w:tc>
          <w:tcPr>
            <w:tcW w:w="3200" w:type="dxa"/>
            <w:vAlign w:val="bottom"/>
          </w:tcPr>
          <w:p>
            <w:pPr>
              <w:spacing w:after="0"/>
              <w:rPr>
                <w:sz w:val="14"/>
                <w:szCs w:val="14"/>
                <w:color w:val="auto"/>
              </w:rPr>
            </w:pPr>
          </w:p>
        </w:tc>
        <w:tc>
          <w:tcPr>
            <w:tcW w:w="2360" w:type="dxa"/>
            <w:vAlign w:val="bottom"/>
          </w:tcPr>
          <w:p>
            <w:pPr>
              <w:ind w:left="1780"/>
              <w:spacing w:after="0" w:line="162" w:lineRule="exact"/>
              <w:rPr>
                <w:sz w:val="20"/>
                <w:szCs w:val="20"/>
                <w:color w:val="auto"/>
              </w:rPr>
            </w:pPr>
            <w:r>
              <w:rPr>
                <w:rFonts w:ascii="Times New Roman" w:cs="Times New Roman" w:eastAsia="Times New Roman" w:hAnsi="Times New Roman"/>
                <w:sz w:val="16"/>
                <w:szCs w:val="16"/>
                <w:color w:val="auto"/>
              </w:rPr>
              <w:t>Name:</w:t>
            </w:r>
          </w:p>
        </w:tc>
        <w:tc>
          <w:tcPr>
            <w:tcW w:w="43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Craig Gould</w:t>
            </w:r>
          </w:p>
        </w:tc>
      </w:tr>
      <w:tr>
        <w:trPr>
          <w:trHeight w:val="187"/>
        </w:trPr>
        <w:tc>
          <w:tcPr>
            <w:tcW w:w="3200" w:type="dxa"/>
            <w:vAlign w:val="bottom"/>
          </w:tcPr>
          <w:p>
            <w:pPr>
              <w:spacing w:after="0"/>
              <w:rPr>
                <w:sz w:val="16"/>
                <w:szCs w:val="16"/>
                <w:color w:val="auto"/>
              </w:rPr>
            </w:pPr>
          </w:p>
        </w:tc>
        <w:tc>
          <w:tcPr>
            <w:tcW w:w="236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Title:</w:t>
            </w:r>
          </w:p>
        </w:tc>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203"/>
        </w:trPr>
        <w:tc>
          <w:tcPr>
            <w:tcW w:w="32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373"/>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Date: August 13, 2025</w:t>
            </w:r>
          </w:p>
        </w:tc>
        <w:tc>
          <w:tcPr>
            <w:tcW w:w="236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By:</w:t>
            </w: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David Shane</w:t>
            </w:r>
          </w:p>
        </w:tc>
      </w:tr>
      <w:tr>
        <w:trPr>
          <w:trHeight w:val="162"/>
        </w:trPr>
        <w:tc>
          <w:tcPr>
            <w:tcW w:w="3200" w:type="dxa"/>
            <w:vAlign w:val="bottom"/>
          </w:tcPr>
          <w:p>
            <w:pPr>
              <w:spacing w:after="0"/>
              <w:rPr>
                <w:sz w:val="14"/>
                <w:szCs w:val="14"/>
                <w:color w:val="auto"/>
              </w:rPr>
            </w:pPr>
          </w:p>
        </w:tc>
        <w:tc>
          <w:tcPr>
            <w:tcW w:w="2360" w:type="dxa"/>
            <w:vAlign w:val="bottom"/>
          </w:tcPr>
          <w:p>
            <w:pPr>
              <w:ind w:left="1780"/>
              <w:spacing w:after="0" w:line="162" w:lineRule="exact"/>
              <w:rPr>
                <w:sz w:val="20"/>
                <w:szCs w:val="20"/>
                <w:color w:val="auto"/>
              </w:rPr>
            </w:pPr>
            <w:r>
              <w:rPr>
                <w:rFonts w:ascii="Times New Roman" w:cs="Times New Roman" w:eastAsia="Times New Roman" w:hAnsi="Times New Roman"/>
                <w:sz w:val="16"/>
                <w:szCs w:val="16"/>
                <w:color w:val="auto"/>
              </w:rPr>
              <w:t>Name:</w:t>
            </w:r>
          </w:p>
        </w:tc>
        <w:tc>
          <w:tcPr>
            <w:tcW w:w="43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David Shane</w:t>
            </w:r>
          </w:p>
        </w:tc>
      </w:tr>
      <w:tr>
        <w:trPr>
          <w:trHeight w:val="187"/>
        </w:trPr>
        <w:tc>
          <w:tcPr>
            <w:tcW w:w="3200" w:type="dxa"/>
            <w:vAlign w:val="bottom"/>
          </w:tcPr>
          <w:p>
            <w:pPr>
              <w:spacing w:after="0"/>
              <w:rPr>
                <w:sz w:val="16"/>
                <w:szCs w:val="16"/>
                <w:color w:val="auto"/>
              </w:rPr>
            </w:pPr>
          </w:p>
        </w:tc>
        <w:tc>
          <w:tcPr>
            <w:tcW w:w="236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Title:</w:t>
            </w:r>
          </w:p>
        </w:tc>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03"/>
        </w:trPr>
        <w:tc>
          <w:tcPr>
            <w:tcW w:w="32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(Principal Accounting and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308610</wp:posOffset>
            </wp:positionV>
            <wp:extent cx="6306185" cy="14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06185" cy="14605"/>
                    </a:xfrm>
                    <a:prstGeom prst="rect">
                      <a:avLst/>
                    </a:prstGeom>
                    <a:noFill/>
                  </pic:spPr>
                </pic:pic>
              </a:graphicData>
            </a:graphic>
          </wp:anchor>
        </w:drawing>
      </w:r>
    </w:p>
    <w:p>
      <w:pPr>
        <w:sectPr>
          <w:pgSz w:w="11900" w:h="16838" w:orient="portrait"/>
          <w:cols w:equalWidth="0" w:num="1">
            <w:col w:w="9920"/>
          </w:cols>
          <w:pgMar w:left="980" w:top="461" w:right="99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6"/>
          <w:szCs w:val="16"/>
          <w:b w:val="1"/>
          <w:bCs w:val="1"/>
          <w:color w:val="auto"/>
        </w:rPr>
        <w:t>EXHIBIT 10.1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BINAH CAPITAL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NOTICE OF GRANT OF RESTRICTED STOCK</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U.S. Participants)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Binah Capital Group, Inc.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xml:space="preserve">”) has granted to the Participant a Restricted Stock Award (the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Award</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pursuant to the Binah Capital Group,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2024 Equity Incentive Plan (the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Plan</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for the number of shares of Stock listed below (the “</w:t>
      </w:r>
      <w:r>
        <w:rPr>
          <w:rFonts w:ascii="Times New Roman" w:cs="Times New Roman" w:eastAsia="Times New Roman" w:hAnsi="Times New Roman"/>
          <w:sz w:val="16"/>
          <w:szCs w:val="16"/>
          <w:b w:val="1"/>
          <w:bCs w:val="1"/>
          <w:i w:val="1"/>
          <w:iCs w:val="1"/>
          <w:color w:val="auto"/>
        </w:rPr>
        <w:t>Shares</w:t>
      </w:r>
      <w:r>
        <w:rPr>
          <w:rFonts w:ascii="Times New Roman" w:cs="Times New Roman" w:eastAsia="Times New Roman" w:hAnsi="Times New Roman"/>
          <w:sz w:val="16"/>
          <w:szCs w:val="16"/>
          <w:color w:val="auto"/>
        </w:rPr>
        <w:t>”),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Participant:</w:t>
            </w:r>
          </w:p>
        </w:tc>
        <w:tc>
          <w:tcPr>
            <w:tcW w:w="708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Employee ID:</w:t>
            </w:r>
          </w:p>
        </w:tc>
      </w:tr>
      <w:tr>
        <w:trPr>
          <w:trHeight w:val="248"/>
        </w:trPr>
        <w:tc>
          <w:tcPr>
            <w:tcW w:w="2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Date of Grant:</w:t>
            </w:r>
          </w:p>
        </w:tc>
        <w:tc>
          <w:tcPr>
            <w:tcW w:w="118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5100" w:type="dxa"/>
            <w:vAlign w:val="bottom"/>
          </w:tcPr>
          <w:p>
            <w:pPr>
              <w:spacing w:after="0"/>
              <w:rPr>
                <w:sz w:val="21"/>
                <w:szCs w:val="21"/>
                <w:color w:val="auto"/>
              </w:rPr>
            </w:pPr>
          </w:p>
        </w:tc>
      </w:tr>
      <w:tr>
        <w:trPr>
          <w:trHeight w:val="233"/>
        </w:trPr>
        <w:tc>
          <w:tcPr>
            <w:tcW w:w="2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708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 subject to adjustment as provided by the Restricted Stock Agreement.</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Fair Market Value per Share on Date of</w:t>
            </w:r>
          </w:p>
        </w:tc>
        <w:tc>
          <w:tcPr>
            <w:tcW w:w="1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spacing w:after="0"/>
              <w:rPr>
                <w:sz w:val="18"/>
                <w:szCs w:val="18"/>
                <w:color w:val="auto"/>
              </w:rPr>
            </w:pPr>
          </w:p>
        </w:tc>
        <w:tc>
          <w:tcPr>
            <w:tcW w:w="5100" w:type="dxa"/>
            <w:vAlign w:val="bottom"/>
          </w:tcPr>
          <w:p>
            <w:pPr>
              <w:spacing w:after="0"/>
              <w:rPr>
                <w:sz w:val="18"/>
                <w:szCs w:val="18"/>
                <w:color w:val="auto"/>
              </w:rPr>
            </w:pPr>
          </w:p>
        </w:tc>
      </w:tr>
      <w:tr>
        <w:trPr>
          <w:trHeight w:val="205"/>
        </w:trPr>
        <w:tc>
          <w:tcPr>
            <w:tcW w:w="2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Grant:</w:t>
            </w:r>
          </w:p>
        </w:tc>
        <w:tc>
          <w:tcPr>
            <w:tcW w:w="1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100" w:type="dxa"/>
            <w:vAlign w:val="bottom"/>
          </w:tcPr>
          <w:p>
            <w:pPr>
              <w:spacing w:after="0"/>
              <w:rPr>
                <w:sz w:val="17"/>
                <w:szCs w:val="17"/>
                <w:color w:val="auto"/>
              </w:rPr>
            </w:pPr>
          </w:p>
        </w:tc>
      </w:tr>
      <w:tr>
        <w:trPr>
          <w:trHeight w:val="369"/>
        </w:trPr>
        <w:tc>
          <w:tcPr>
            <w:tcW w:w="2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Vested Shares:</w:t>
            </w:r>
          </w:p>
        </w:tc>
        <w:tc>
          <w:tcPr>
            <w:tcW w:w="708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Except as provided in the Restricted Stock Agreement and provided that the Participant’s Service has not</w:t>
            </w:r>
          </w:p>
        </w:tc>
      </w:tr>
      <w:tr>
        <w:trPr>
          <w:trHeight w:val="203"/>
        </w:trPr>
        <w:tc>
          <w:tcPr>
            <w:tcW w:w="2840" w:type="dxa"/>
            <w:vAlign w:val="bottom"/>
          </w:tcPr>
          <w:p>
            <w:pPr>
              <w:spacing w:after="0"/>
              <w:rPr>
                <w:sz w:val="17"/>
                <w:szCs w:val="17"/>
                <w:color w:val="auto"/>
              </w:rPr>
            </w:pPr>
          </w:p>
        </w:tc>
        <w:tc>
          <w:tcPr>
            <w:tcW w:w="708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w w:val="97"/>
              </w:rPr>
              <w:t>terminated prior to the applicable date, 100% of the Shares shall become Vested Shares on the Date of Grant.</w:t>
            </w:r>
          </w:p>
        </w:tc>
      </w:tr>
      <w:tr>
        <w:trPr>
          <w:trHeight w:val="385"/>
        </w:trPr>
        <w:tc>
          <w:tcPr>
            <w:tcW w:w="2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Superseding Agreement:</w:t>
            </w:r>
          </w:p>
        </w:tc>
        <w:tc>
          <w:tcPr>
            <w:tcW w:w="708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Employment Agreement between the Company and the Participant dated, as amended from time to time.</w:t>
            </w:r>
          </w:p>
        </w:tc>
      </w:tr>
    </w:tbl>
    <w:p>
      <w:pPr>
        <w:spacing w:after="0" w:line="21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By their signatures below or by electronic acceptance or authentication in a form authorized by the Company, the Company and the Participant agree that the Award is governed by this Grant Notice and by the provisions of the Restricted Stock Agreement and the Plan, both of which are made a part of this document, and by the Superseding Agreement, if any. The Participant acknowledges that copies of the Plan, the Restricted Stock Agreement and the prospectus for the Plan are available on the Company’s internal web site and may be viewed and printed by the Participant for attachment to the Participant’s copy of this Grant Notice. The Participant represents that the Participant has read and is familiar with the provisions of the Restricted Stock Agreement and the Plan, and hereby accepts the Award subject to all of their terms and conditions.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BINAH CAPITAL GROUP, INC.</w:t>
            </w:r>
          </w:p>
        </w:tc>
        <w:tc>
          <w:tcPr>
            <w:tcW w:w="4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PARTICIPANT</w:t>
            </w:r>
          </w:p>
        </w:tc>
        <w:tc>
          <w:tcPr>
            <w:tcW w:w="0" w:type="dxa"/>
            <w:vAlign w:val="bottom"/>
          </w:tcPr>
          <w:p>
            <w:pPr>
              <w:spacing w:after="0"/>
              <w:rPr>
                <w:sz w:val="1"/>
                <w:szCs w:val="1"/>
                <w:color w:val="auto"/>
              </w:rPr>
            </w:pPr>
          </w:p>
        </w:tc>
      </w:tr>
      <w:tr>
        <w:trPr>
          <w:trHeight w:val="187"/>
        </w:trPr>
        <w:tc>
          <w:tcPr>
            <w:tcW w:w="4880" w:type="dxa"/>
            <w:vAlign w:val="bottom"/>
            <w:tcBorders>
              <w:bottom w:val="single" w:sz="8" w:color="auto"/>
            </w:tcBorders>
          </w:tcPr>
          <w:p>
            <w:pPr>
              <w:spacing w:after="0"/>
              <w:rPr>
                <w:sz w:val="16"/>
                <w:szCs w:val="16"/>
                <w:color w:val="auto"/>
              </w:rPr>
            </w:pPr>
          </w:p>
        </w:tc>
        <w:tc>
          <w:tcPr>
            <w:tcW w:w="220" w:type="dxa"/>
            <w:vAlign w:val="bottom"/>
            <w:vMerge w:val="restart"/>
          </w:tcPr>
          <w:p>
            <w:pPr>
              <w:spacing w:after="0"/>
              <w:rPr>
                <w:sz w:val="16"/>
                <w:szCs w:val="16"/>
                <w:color w:val="auto"/>
              </w:rPr>
            </w:pPr>
          </w:p>
        </w:tc>
        <w:tc>
          <w:tcPr>
            <w:tcW w:w="482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88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Name:</w:t>
            </w:r>
          </w:p>
        </w:tc>
        <w:tc>
          <w:tcPr>
            <w:tcW w:w="220" w:type="dxa"/>
            <w:vAlign w:val="bottom"/>
            <w:vMerge w:val="continue"/>
          </w:tcPr>
          <w:p>
            <w:pPr>
              <w:spacing w:after="0"/>
              <w:rPr>
                <w:sz w:val="14"/>
                <w:szCs w:val="14"/>
                <w:color w:val="auto"/>
              </w:rPr>
            </w:pPr>
          </w:p>
        </w:tc>
        <w:tc>
          <w:tcPr>
            <w:tcW w:w="482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Signature</w:t>
            </w:r>
          </w:p>
        </w:tc>
        <w:tc>
          <w:tcPr>
            <w:tcW w:w="0" w:type="dxa"/>
            <w:vAlign w:val="bottom"/>
          </w:tcPr>
          <w:p>
            <w:pPr>
              <w:spacing w:after="0"/>
              <w:rPr>
                <w:sz w:val="1"/>
                <w:szCs w:val="1"/>
                <w:color w:val="auto"/>
              </w:rPr>
            </w:pPr>
          </w:p>
        </w:tc>
      </w:tr>
      <w:tr>
        <w:trPr>
          <w:trHeight w:val="203"/>
        </w:trPr>
        <w:tc>
          <w:tcPr>
            <w:tcW w:w="5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Title:</w:t>
            </w:r>
          </w:p>
        </w:tc>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3"/>
        </w:trPr>
        <w:tc>
          <w:tcPr>
            <w:tcW w:w="5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Address:   80 State Street</w:t>
            </w:r>
          </w:p>
        </w:tc>
        <w:tc>
          <w:tcPr>
            <w:tcW w:w="20" w:type="dxa"/>
            <w:vAlign w:val="bottom"/>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100" w:type="dxa"/>
            <w:vAlign w:val="bottom"/>
            <w:gridSpan w:val="2"/>
          </w:tcPr>
          <w:p>
            <w:pPr>
              <w:ind w:left="740"/>
              <w:spacing w:after="0" w:line="183" w:lineRule="exact"/>
              <w:rPr>
                <w:sz w:val="20"/>
                <w:szCs w:val="20"/>
                <w:color w:val="auto"/>
              </w:rPr>
            </w:pPr>
            <w:r>
              <w:rPr>
                <w:rFonts w:ascii="Times New Roman" w:cs="Times New Roman" w:eastAsia="Times New Roman" w:hAnsi="Times New Roman"/>
                <w:sz w:val="16"/>
                <w:szCs w:val="16"/>
                <w:color w:val="auto"/>
              </w:rPr>
              <w:t>Albany, NY 12207</w:t>
            </w:r>
          </w:p>
        </w:tc>
        <w:tc>
          <w:tcPr>
            <w:tcW w:w="20" w:type="dxa"/>
            <w:vAlign w:val="bottom"/>
          </w:tcPr>
          <w:p>
            <w:pPr>
              <w:spacing w:after="0"/>
              <w:rPr>
                <w:sz w:val="16"/>
                <w:szCs w:val="16"/>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Address</w:t>
            </w:r>
          </w:p>
        </w:tc>
        <w:tc>
          <w:tcPr>
            <w:tcW w:w="0" w:type="dxa"/>
            <w:vAlign w:val="bottom"/>
          </w:tcPr>
          <w:p>
            <w:pPr>
              <w:spacing w:after="0"/>
              <w:rPr>
                <w:sz w:val="1"/>
                <w:szCs w:val="1"/>
                <w:color w:val="auto"/>
              </w:rPr>
            </w:pPr>
          </w:p>
        </w:tc>
      </w:tr>
      <w:tr>
        <w:trPr>
          <w:trHeight w:val="839"/>
        </w:trPr>
        <w:tc>
          <w:tcPr>
            <w:tcW w:w="4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121" w:right="97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BINAH CAPITAL GROUP, INC.</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RESTRICTED STOCK AGREEMENT</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U.S. Participants)</w:t>
      </w:r>
    </w:p>
    <w:p>
      <w:pPr>
        <w:spacing w:after="0" w:line="172" w:lineRule="exact"/>
        <w:rPr>
          <w:sz w:val="20"/>
          <w:szCs w:val="20"/>
          <w:color w:val="auto"/>
        </w:rPr>
      </w:pPr>
    </w:p>
    <w:p>
      <w:pPr>
        <w:ind w:firstLine="560"/>
        <w:spacing w:after="0" w:line="287" w:lineRule="auto"/>
        <w:rPr>
          <w:sz w:val="20"/>
          <w:szCs w:val="20"/>
          <w:color w:val="auto"/>
        </w:rPr>
      </w:pPr>
      <w:r>
        <w:rPr>
          <w:rFonts w:ascii="Times New Roman" w:cs="Times New Roman" w:eastAsia="Times New Roman" w:hAnsi="Times New Roman"/>
          <w:sz w:val="14"/>
          <w:szCs w:val="14"/>
          <w:color w:val="auto"/>
        </w:rPr>
        <w:t xml:space="preserve">Binah Capital Group, Inc. (the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has granted to the Participant named in the Notice of Grant of Restricted Stock (the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Grant Notice</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to which this Restricted Stock Agreement (the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Agreement</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is attached an Award consisting of Shares subject to the terms and conditions set forth in the Grant Notice and this Agreement. The Award has been granted pursuant to and shall in all respects be subject to the terms and conditions of the Binah Capital Group, Inc. 2024 Equity Incentive Plan (the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Plan</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as amended to the Date of Grant,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(the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Plan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Prospectus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(b) accepts the Award subject to all of the terms and conditions of the Grant Notice, this Agreement and the Plan and (c) agrees to accept as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binding, conclusive and final all decisions or interpretations of the Committee upon any questions arising under the Grant Notice, this Agreement or the Plan.</w:t>
      </w:r>
    </w:p>
    <w:p>
      <w:pPr>
        <w:spacing w:after="0" w:line="140" w:lineRule="exact"/>
        <w:rPr>
          <w:sz w:val="20"/>
          <w:szCs w:val="20"/>
          <w:color w:val="auto"/>
        </w:rPr>
      </w:pPr>
    </w:p>
    <w:p>
      <w:pPr>
        <w:ind w:left="840" w:hanging="284"/>
        <w:spacing w:after="0"/>
        <w:tabs>
          <w:tab w:leader="none" w:pos="8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Definitions and Construction</w:t>
      </w:r>
      <w:r>
        <w:rPr>
          <w:rFonts w:ascii="Times New Roman" w:cs="Times New Roman" w:eastAsia="Times New Roman" w:hAnsi="Times New Roman"/>
          <w:sz w:val="16"/>
          <w:szCs w:val="16"/>
          <w:b w:val="1"/>
          <w:bCs w:val="1"/>
          <w:color w:val="auto"/>
        </w:rPr>
        <w:t>.</w:t>
      </w:r>
    </w:p>
    <w:p>
      <w:pPr>
        <w:spacing w:after="0" w:line="189" w:lineRule="exact"/>
        <w:rPr>
          <w:sz w:val="20"/>
          <w:szCs w:val="20"/>
          <w:color w:val="auto"/>
        </w:rPr>
      </w:pPr>
    </w:p>
    <w:p>
      <w:pPr>
        <w:ind w:left="1120"/>
        <w:spacing w:after="0"/>
        <w:tabs>
          <w:tab w:leader="none" w:pos="1660" w:val="left"/>
        </w:tabs>
        <w:rPr>
          <w:sz w:val="20"/>
          <w:szCs w:val="20"/>
          <w:color w:val="auto"/>
        </w:rPr>
      </w:pPr>
      <w:r>
        <w:rPr>
          <w:rFonts w:ascii="Times New Roman" w:cs="Times New Roman" w:eastAsia="Times New Roman" w:hAnsi="Times New Roman"/>
          <w:sz w:val="16"/>
          <w:szCs w:val="16"/>
          <w:color w:val="auto"/>
        </w:rPr>
        <w:t>1.1</w:t>
      </w:r>
      <w:r>
        <w:rPr>
          <w:sz w:val="20"/>
          <w:szCs w:val="20"/>
          <w:color w:val="auto"/>
        </w:rPr>
        <w:tab/>
      </w:r>
      <w:r>
        <w:rPr>
          <w:rFonts w:ascii="Times New Roman" w:cs="Times New Roman" w:eastAsia="Times New Roman" w:hAnsi="Times New Roman"/>
          <w:sz w:val="14"/>
          <w:szCs w:val="14"/>
          <w:b w:val="1"/>
          <w:bCs w:val="1"/>
          <w:color w:val="auto"/>
        </w:rPr>
        <w:t>Definitions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Unless otherwise defined herein, capitalized terms shall have the meanings assigned to such terms in the Grant Notice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 the Plan.</w:t>
      </w:r>
    </w:p>
    <w:p>
      <w:pPr>
        <w:spacing w:after="0" w:line="172" w:lineRule="exact"/>
        <w:rPr>
          <w:sz w:val="20"/>
          <w:szCs w:val="20"/>
          <w:color w:val="auto"/>
        </w:rPr>
      </w:pPr>
    </w:p>
    <w:p>
      <w:pPr>
        <w:ind w:right="60" w:firstLine="1120"/>
        <w:spacing w:after="0" w:line="257" w:lineRule="auto"/>
        <w:rPr>
          <w:sz w:val="20"/>
          <w:szCs w:val="20"/>
          <w:color w:val="auto"/>
        </w:rPr>
      </w:pPr>
      <w:r>
        <w:rPr>
          <w:rFonts w:ascii="Times New Roman" w:cs="Times New Roman" w:eastAsia="Times New Roman" w:hAnsi="Times New Roman"/>
          <w:sz w:val="16"/>
          <w:szCs w:val="16"/>
          <w:color w:val="auto"/>
        </w:rPr>
        <w:t xml:space="preserve">1.2 </w:t>
      </w:r>
      <w:r>
        <w:rPr>
          <w:rFonts w:ascii="Times New Roman" w:cs="Times New Roman" w:eastAsia="Times New Roman" w:hAnsi="Times New Roman"/>
          <w:sz w:val="16"/>
          <w:szCs w:val="16"/>
          <w:b w:val="1"/>
          <w:bCs w:val="1"/>
          <w:color w:val="auto"/>
        </w:rPr>
        <w:t>Construction</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spacing w:after="0" w:line="156" w:lineRule="exact"/>
        <w:rPr>
          <w:sz w:val="20"/>
          <w:szCs w:val="20"/>
          <w:color w:val="auto"/>
        </w:rPr>
      </w:pPr>
    </w:p>
    <w:p>
      <w:pPr>
        <w:ind w:left="840" w:hanging="284"/>
        <w:spacing w:after="0"/>
        <w:tabs>
          <w:tab w:leader="none" w:pos="8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Administration</w:t>
      </w:r>
      <w:r>
        <w:rPr>
          <w:rFonts w:ascii="Times New Roman" w:cs="Times New Roman" w:eastAsia="Times New Roman" w:hAnsi="Times New Roman"/>
          <w:sz w:val="16"/>
          <w:szCs w:val="16"/>
          <w:b w:val="1"/>
          <w:bCs w:val="1"/>
          <w:color w:val="auto"/>
        </w:rPr>
        <w:t>.</w:t>
      </w:r>
    </w:p>
    <w:p>
      <w:pPr>
        <w:spacing w:after="0" w:line="191" w:lineRule="exact"/>
        <w:rPr>
          <w:sz w:val="20"/>
          <w:szCs w:val="20"/>
          <w:color w:val="auto"/>
        </w:rPr>
      </w:pPr>
    </w:p>
    <w:p>
      <w:pPr>
        <w:ind w:firstLine="560"/>
        <w:spacing w:after="0" w:line="288" w:lineRule="auto"/>
        <w:rPr>
          <w:sz w:val="20"/>
          <w:szCs w:val="20"/>
          <w:color w:val="auto"/>
        </w:rPr>
      </w:pPr>
      <w:r>
        <w:rPr>
          <w:rFonts w:ascii="Times New Roman" w:cs="Times New Roman" w:eastAsia="Times New Roman" w:hAnsi="Times New Roman"/>
          <w:sz w:val="14"/>
          <w:szCs w:val="14"/>
          <w:color w:val="auto"/>
        </w:rPr>
        <w:t>All questions of interpretation concerning the Grant Notice, this Agreement, the Plan or any other form of agreement or other document employed by the Company in the administration of the Plan or the Award shall be determined by the Committee. All such determinations by the Committee shall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 Company herein, provided the Officer has apparent authority with respect to such matter, right, obligation, or election.</w:t>
      </w:r>
    </w:p>
    <w:p>
      <w:pPr>
        <w:spacing w:after="0" w:line="139" w:lineRule="exact"/>
        <w:rPr>
          <w:sz w:val="20"/>
          <w:szCs w:val="20"/>
          <w:color w:val="auto"/>
        </w:rPr>
      </w:pPr>
    </w:p>
    <w:p>
      <w:pPr>
        <w:ind w:left="840" w:hanging="284"/>
        <w:spacing w:after="0"/>
        <w:tabs>
          <w:tab w:leader="none" w:pos="8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The Award</w:t>
      </w:r>
      <w:r>
        <w:rPr>
          <w:rFonts w:ascii="Times New Roman" w:cs="Times New Roman" w:eastAsia="Times New Roman" w:hAnsi="Times New Roman"/>
          <w:sz w:val="16"/>
          <w:szCs w:val="16"/>
          <w:b w:val="1"/>
          <w:bCs w:val="1"/>
          <w:color w:val="auto"/>
        </w:rPr>
        <w:t>.</w:t>
      </w:r>
    </w:p>
    <w:p>
      <w:pPr>
        <w:spacing w:after="0" w:line="189" w:lineRule="exact"/>
        <w:rPr>
          <w:sz w:val="20"/>
          <w:szCs w:val="20"/>
          <w:color w:val="auto"/>
        </w:rPr>
      </w:pPr>
    </w:p>
    <w:p>
      <w:pPr>
        <w:ind w:right="60" w:firstLine="1120"/>
        <w:spacing w:after="0" w:line="252" w:lineRule="auto"/>
        <w:rPr>
          <w:sz w:val="20"/>
          <w:szCs w:val="20"/>
          <w:color w:val="auto"/>
        </w:rPr>
      </w:pPr>
      <w:r>
        <w:rPr>
          <w:rFonts w:ascii="Times New Roman" w:cs="Times New Roman" w:eastAsia="Times New Roman" w:hAnsi="Times New Roman"/>
          <w:sz w:val="16"/>
          <w:szCs w:val="16"/>
          <w:color w:val="auto"/>
        </w:rPr>
        <w:t xml:space="preserve">3.1 </w:t>
      </w:r>
      <w:r>
        <w:rPr>
          <w:rFonts w:ascii="Times New Roman" w:cs="Times New Roman" w:eastAsia="Times New Roman" w:hAnsi="Times New Roman"/>
          <w:sz w:val="16"/>
          <w:szCs w:val="16"/>
          <w:b w:val="1"/>
          <w:bCs w:val="1"/>
          <w:color w:val="auto"/>
        </w:rPr>
        <w:t>Grant and Issuance of Shares</w:t>
      </w:r>
      <w:r>
        <w:rPr>
          <w:rFonts w:ascii="Times New Roman" w:cs="Times New Roman" w:eastAsia="Times New Roman" w:hAnsi="Times New Roman"/>
          <w:sz w:val="16"/>
          <w:szCs w:val="16"/>
          <w:color w:val="auto"/>
        </w:rPr>
        <w:t>. On the Date of Grant, the Participant shall acquire and the Company shall issue, subject to the provisions of this Agreement, a number of Shares equal to the Total Number of Shares. As a condition to the issuance of the Shares, the Participant shall execute and deliver the Grant Notice to the Company, and, if required by the Company, an Assignment Separate from Certificate duly endorsed (with date and number of shares blank) in the form provided by the Company.</w:t>
      </w:r>
    </w:p>
    <w:p>
      <w:pPr>
        <w:spacing w:after="0" w:line="161" w:lineRule="exact"/>
        <w:rPr>
          <w:sz w:val="20"/>
          <w:szCs w:val="20"/>
          <w:color w:val="auto"/>
        </w:rPr>
      </w:pPr>
    </w:p>
    <w:p>
      <w:pPr>
        <w:ind w:right="100" w:firstLine="1120"/>
        <w:spacing w:after="0" w:line="250" w:lineRule="auto"/>
        <w:rPr>
          <w:sz w:val="20"/>
          <w:szCs w:val="20"/>
          <w:color w:val="auto"/>
        </w:rPr>
      </w:pPr>
      <w:r>
        <w:rPr>
          <w:rFonts w:ascii="Times New Roman" w:cs="Times New Roman" w:eastAsia="Times New Roman" w:hAnsi="Times New Roman"/>
          <w:sz w:val="16"/>
          <w:szCs w:val="16"/>
          <w:color w:val="auto"/>
        </w:rPr>
        <w:t xml:space="preserve">3.2 </w:t>
      </w:r>
      <w:r>
        <w:rPr>
          <w:rFonts w:ascii="Times New Roman" w:cs="Times New Roman" w:eastAsia="Times New Roman" w:hAnsi="Times New Roman"/>
          <w:sz w:val="16"/>
          <w:szCs w:val="16"/>
          <w:b w:val="1"/>
          <w:bCs w:val="1"/>
          <w:color w:val="auto"/>
        </w:rPr>
        <w:t>No Monetary Payment Required</w:t>
      </w:r>
      <w:r>
        <w:rPr>
          <w:rFonts w:ascii="Times New Roman" w:cs="Times New Roman" w:eastAsia="Times New Roman" w:hAnsi="Times New Roman"/>
          <w:sz w:val="16"/>
          <w:szCs w:val="16"/>
          <w:color w:val="auto"/>
        </w:rPr>
        <w:t>. The Participant is not required to make any monetary payment (other than to satisfy applicable tax withholding, if any, with respect to the issuance or vesting of the Shares) as a condition to receiving the Shares, the consideration for which shall be past services actually rendered or future services to be rendered to a Participating Company or for its benefit. Notwithstanding the foregoing, if required by applicable law, the Participant shall furnish consideration in the form of cash or past services rendered to a Participating Company or for its benefit having a value not less than the par value of the Shares issued pursuant to the Award.</w:t>
      </w:r>
    </w:p>
    <w:p>
      <w:pPr>
        <w:spacing w:after="0" w:line="162" w:lineRule="exact"/>
        <w:rPr>
          <w:sz w:val="20"/>
          <w:szCs w:val="20"/>
          <w:color w:val="auto"/>
        </w:rPr>
      </w:pPr>
    </w:p>
    <w:p>
      <w:pPr>
        <w:ind w:right="40" w:firstLine="1120"/>
        <w:spacing w:after="0" w:line="252" w:lineRule="auto"/>
        <w:rPr>
          <w:sz w:val="20"/>
          <w:szCs w:val="20"/>
          <w:color w:val="auto"/>
        </w:rPr>
      </w:pPr>
      <w:r>
        <w:rPr>
          <w:rFonts w:ascii="Times New Roman" w:cs="Times New Roman" w:eastAsia="Times New Roman" w:hAnsi="Times New Roman"/>
          <w:sz w:val="16"/>
          <w:szCs w:val="16"/>
          <w:color w:val="auto"/>
        </w:rPr>
        <w:t xml:space="preserve">3.3 </w:t>
      </w:r>
      <w:r>
        <w:rPr>
          <w:rFonts w:ascii="Times New Roman" w:cs="Times New Roman" w:eastAsia="Times New Roman" w:hAnsi="Times New Roman"/>
          <w:sz w:val="16"/>
          <w:szCs w:val="16"/>
          <w:b w:val="1"/>
          <w:bCs w:val="1"/>
          <w:color w:val="auto"/>
        </w:rPr>
        <w:t>Beneficial Ownership of Shares; Certificate Registration</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The Participant hereby authorizes the Company, in its sole discretion, to deposit the Shares with the Company’s transfer agent, including any successor transfer agent, to be held in book entry form during the term of the Escrow pursuant to Section 6. Furthermore, the Participant hereby authorizes the Company, in its sole discretion, to deposit, following the term of such Escrow, for the benefit of the Participant with any broker with which the Participant has an account 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528955</wp:posOffset>
            </wp:positionV>
            <wp:extent cx="6306185" cy="222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06185" cy="2222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5" w:name="page46"/>
    <w:bookmarkEnd w:id="45"/>
    <w:p>
      <w:pPr>
        <w:ind w:right="420"/>
        <w:spacing w:after="0" w:line="267" w:lineRule="auto"/>
        <w:rPr>
          <w:sz w:val="20"/>
          <w:szCs w:val="20"/>
          <w:color w:val="auto"/>
        </w:rPr>
      </w:pPr>
      <w:r>
        <w:rPr>
          <w:rFonts w:ascii="Times New Roman" w:cs="Times New Roman" w:eastAsia="Times New Roman" w:hAnsi="Times New Roman"/>
          <w:sz w:val="16"/>
          <w:szCs w:val="16"/>
          <w:color w:val="auto"/>
        </w:rPr>
        <w:t>of which the Company has notice any or all Shares which are no longer subject to such Escrow. Except as provided by the foregoing, a certificate for the Shares shall be registered in the name of the Participant, or, if applicable, in the names of the heirs of the Participant.</w:t>
      </w:r>
    </w:p>
    <w:p>
      <w:pPr>
        <w:spacing w:after="0" w:line="149" w:lineRule="exact"/>
        <w:rPr>
          <w:sz w:val="20"/>
          <w:szCs w:val="20"/>
          <w:color w:val="auto"/>
        </w:rPr>
      </w:pPr>
    </w:p>
    <w:p>
      <w:pPr>
        <w:ind w:firstLine="1120"/>
        <w:spacing w:after="0" w:line="247" w:lineRule="auto"/>
        <w:rPr>
          <w:sz w:val="20"/>
          <w:szCs w:val="20"/>
          <w:color w:val="auto"/>
        </w:rPr>
      </w:pPr>
      <w:r>
        <w:rPr>
          <w:rFonts w:ascii="Times New Roman" w:cs="Times New Roman" w:eastAsia="Times New Roman" w:hAnsi="Times New Roman"/>
          <w:sz w:val="16"/>
          <w:szCs w:val="16"/>
          <w:color w:val="auto"/>
        </w:rPr>
        <w:t xml:space="preserve">3.4 </w:t>
      </w:r>
      <w:r>
        <w:rPr>
          <w:rFonts w:ascii="Times New Roman" w:cs="Times New Roman" w:eastAsia="Times New Roman" w:hAnsi="Times New Roman"/>
          <w:sz w:val="16"/>
          <w:szCs w:val="16"/>
          <w:b w:val="1"/>
          <w:bCs w:val="1"/>
          <w:color w:val="auto"/>
        </w:rPr>
        <w:t>Issuance of Shares in Compliance with Law</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The issuance of the Shares shall be subject to compliance with all applicable requirements of federal, state or foreign law with respect to such securities. No Shares shall be issued hereunder if their issuance would constitute a violation of any applicable federal, state or foreign securities laws 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of any Shares shall relieve the Company of any liability in respect of the failure to issue such Shares as to which such requisite authority shall not have been obtained. As a condition to the issuance of the Shares,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66" w:lineRule="exact"/>
        <w:rPr>
          <w:sz w:val="20"/>
          <w:szCs w:val="20"/>
          <w:color w:val="auto"/>
        </w:rPr>
      </w:pPr>
    </w:p>
    <w:p>
      <w:pPr>
        <w:ind w:left="840" w:hanging="284"/>
        <w:spacing w:after="0"/>
        <w:tabs>
          <w:tab w:leader="none" w:pos="8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Vesting of Shares</w:t>
      </w:r>
      <w:r>
        <w:rPr>
          <w:rFonts w:ascii="Times New Roman" w:cs="Times New Roman" w:eastAsia="Times New Roman" w:hAnsi="Times New Roman"/>
          <w:sz w:val="16"/>
          <w:szCs w:val="16"/>
          <w:b w:val="1"/>
          <w:bCs w:val="1"/>
          <w:color w:val="auto"/>
        </w:rPr>
        <w:t>.</w:t>
      </w:r>
    </w:p>
    <w:p>
      <w:pPr>
        <w:spacing w:after="0" w:line="191" w:lineRule="exact"/>
        <w:rPr>
          <w:sz w:val="20"/>
          <w:szCs w:val="20"/>
          <w:color w:val="auto"/>
        </w:rPr>
      </w:pPr>
    </w:p>
    <w:p>
      <w:pPr>
        <w:jc w:val="both"/>
        <w:ind w:right="120" w:firstLine="560"/>
        <w:spacing w:after="0" w:line="309" w:lineRule="auto"/>
        <w:rPr>
          <w:sz w:val="20"/>
          <w:szCs w:val="20"/>
          <w:color w:val="auto"/>
        </w:rPr>
      </w:pPr>
      <w:r>
        <w:rPr>
          <w:rFonts w:ascii="Times New Roman" w:cs="Times New Roman" w:eastAsia="Times New Roman" w:hAnsi="Times New Roman"/>
          <w:sz w:val="14"/>
          <w:szCs w:val="14"/>
          <w:color w:val="auto"/>
        </w:rPr>
        <w:t>Shares acquired pursuant to this Agreement shall become Vested Shares as provided in the Grant Notice. For purposes of determining the number of Vested Shares following an Ownership Change Event, credited Service shall include all Service with any corporation which is a Participating Company at the time the Service is rendered, whether or not such corporation is a Participating Company both before and after the Ownership Change Event.</w:t>
      </w:r>
    </w:p>
    <w:p>
      <w:pPr>
        <w:spacing w:after="0" w:line="123" w:lineRule="exact"/>
        <w:rPr>
          <w:sz w:val="20"/>
          <w:szCs w:val="20"/>
          <w:color w:val="auto"/>
        </w:rPr>
      </w:pPr>
    </w:p>
    <w:p>
      <w:pPr>
        <w:ind w:left="840" w:hanging="284"/>
        <w:spacing w:after="0"/>
        <w:tabs>
          <w:tab w:leader="none" w:pos="8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Company Reacquisition Right</w:t>
      </w:r>
      <w:r>
        <w:rPr>
          <w:rFonts w:ascii="Times New Roman" w:cs="Times New Roman" w:eastAsia="Times New Roman" w:hAnsi="Times New Roman"/>
          <w:sz w:val="16"/>
          <w:szCs w:val="16"/>
          <w:b w:val="1"/>
          <w:bCs w:val="1"/>
          <w:color w:val="auto"/>
        </w:rPr>
        <w:t>.</w:t>
      </w:r>
    </w:p>
    <w:p>
      <w:pPr>
        <w:spacing w:after="0" w:line="189" w:lineRule="exact"/>
        <w:rPr>
          <w:sz w:val="20"/>
          <w:szCs w:val="20"/>
          <w:color w:val="auto"/>
        </w:rPr>
      </w:pPr>
    </w:p>
    <w:p>
      <w:pPr>
        <w:ind w:right="80" w:firstLine="1120"/>
        <w:spacing w:after="0" w:line="248" w:lineRule="auto"/>
        <w:rPr>
          <w:sz w:val="20"/>
          <w:szCs w:val="20"/>
          <w:color w:val="auto"/>
        </w:rPr>
      </w:pPr>
      <w:r>
        <w:rPr>
          <w:rFonts w:ascii="Times New Roman" w:cs="Times New Roman" w:eastAsia="Times New Roman" w:hAnsi="Times New Roman"/>
          <w:sz w:val="16"/>
          <w:szCs w:val="16"/>
          <w:color w:val="auto"/>
        </w:rPr>
        <w:t xml:space="preserve">5.1 </w:t>
      </w:r>
      <w:r>
        <w:rPr>
          <w:rFonts w:ascii="Times New Roman" w:cs="Times New Roman" w:eastAsia="Times New Roman" w:hAnsi="Times New Roman"/>
          <w:sz w:val="16"/>
          <w:szCs w:val="16"/>
          <w:b w:val="1"/>
          <w:bCs w:val="1"/>
          <w:color w:val="auto"/>
        </w:rPr>
        <w:t>Grant of Company Reacquisition Right</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Except as provided in the Grant Notice and except to the extent otherwise provided by the Superseding Agreement, if any, in the event that (a) the Participant’s Service terminates for any reason or no reason, with or without cause, or (b) the Participant, the Participant’s legal representative, or other holder of the Shares, attempts to sell, exchange, transfer, pledge, or otherwise dispose of (other than pursuant to an Ownership Change Event), including, without limitation, any transfer to a nominee or agent of the Participant, any Shares which are not Vested Shares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Unvested Shares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the Participant shall forfeit and the Company shall automatically reacquire the Unvested Shares, and the Participant shall not be entitled to any payment therefor (the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Company Reacquisition Right</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w:t>
      </w:r>
    </w:p>
    <w:p>
      <w:pPr>
        <w:spacing w:after="0" w:line="166" w:lineRule="exact"/>
        <w:rPr>
          <w:sz w:val="20"/>
          <w:szCs w:val="20"/>
          <w:color w:val="auto"/>
        </w:rPr>
      </w:pPr>
    </w:p>
    <w:p>
      <w:pPr>
        <w:ind w:firstLine="1120"/>
        <w:spacing w:after="0" w:line="246" w:lineRule="auto"/>
        <w:rPr>
          <w:sz w:val="20"/>
          <w:szCs w:val="20"/>
          <w:color w:val="auto"/>
        </w:rPr>
      </w:pPr>
      <w:r>
        <w:rPr>
          <w:rFonts w:ascii="Times New Roman" w:cs="Times New Roman" w:eastAsia="Times New Roman" w:hAnsi="Times New Roman"/>
          <w:sz w:val="16"/>
          <w:szCs w:val="16"/>
          <w:color w:val="auto"/>
        </w:rPr>
        <w:t xml:space="preserve">5.2 </w:t>
      </w:r>
      <w:r>
        <w:rPr>
          <w:rFonts w:ascii="Times New Roman" w:cs="Times New Roman" w:eastAsia="Times New Roman" w:hAnsi="Times New Roman"/>
          <w:sz w:val="16"/>
          <w:szCs w:val="16"/>
          <w:b w:val="1"/>
          <w:bCs w:val="1"/>
          <w:color w:val="auto"/>
        </w:rPr>
        <w:t>Ownership Change Event, Non-Cash Dividends, Distributions and Adjustments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Upon the occurrence of an Ownership Change Event, a dividend or distribution to the stockholders of the Company paid in shares of Stock or other property, or any other adjustment upon a change in the capital structure of the Company as described in Section 9, any and all new, substituted or additional securities or other property (other than regular, periodic cash dividends paid on Stock pursuant to the Company’s dividend policy) to which the Participant is entitled by reason of the Participant’s ownership of Unvested Shares shall be immediately subject to the Company Reacquisition Right and included in the terms “Shares,” “Stock” and “Unvested Shares” for all purposes of the Company Reacquisition Right with the same force and effect as the Unvested Shares immediately prior to the Ownership Change Event, dividend, distribution or adjustment, as the case may be. For purposes of determining the number of Vested Shares following an Ownership Change Event, dividend, distribution or adjustment, credited Service shall include all Service with any corporation which is a Participating Company at the time the Service is rendered, whether or not such corporation is a Participating Company both before and after any such event.</w:t>
      </w:r>
    </w:p>
    <w:p>
      <w:pPr>
        <w:spacing w:after="0" w:line="170" w:lineRule="exact"/>
        <w:rPr>
          <w:sz w:val="20"/>
          <w:szCs w:val="20"/>
          <w:color w:val="auto"/>
        </w:rPr>
      </w:pPr>
    </w:p>
    <w:p>
      <w:pPr>
        <w:ind w:right="100" w:firstLine="1120"/>
        <w:spacing w:after="0" w:line="257" w:lineRule="auto"/>
        <w:rPr>
          <w:sz w:val="20"/>
          <w:szCs w:val="20"/>
          <w:color w:val="auto"/>
        </w:rPr>
      </w:pPr>
      <w:r>
        <w:rPr>
          <w:rFonts w:ascii="Times New Roman" w:cs="Times New Roman" w:eastAsia="Times New Roman" w:hAnsi="Times New Roman"/>
          <w:sz w:val="16"/>
          <w:szCs w:val="16"/>
          <w:color w:val="auto"/>
        </w:rPr>
        <w:t xml:space="preserve">5.3 </w:t>
      </w:r>
      <w:r>
        <w:rPr>
          <w:rFonts w:ascii="Times New Roman" w:cs="Times New Roman" w:eastAsia="Times New Roman" w:hAnsi="Times New Roman"/>
          <w:sz w:val="16"/>
          <w:szCs w:val="16"/>
          <w:b w:val="1"/>
          <w:bCs w:val="1"/>
          <w:color w:val="auto"/>
        </w:rPr>
        <w:t>Obligation to Repay Certain Cash Dividends and Distributions</w:t>
      </w:r>
      <w:r>
        <w:rPr>
          <w:rFonts w:ascii="Times New Roman" w:cs="Times New Roman" w:eastAsia="Times New Roman" w:hAnsi="Times New Roman"/>
          <w:sz w:val="16"/>
          <w:szCs w:val="16"/>
          <w:color w:val="auto"/>
        </w:rPr>
        <w:t>. The Participant shall, at the discretion of the Company, be obligated to promptly repay to the Company upon termination of the Participant’s Service any dividends and other distributions paid to the Participant in cash with respect to Unvested Shares reacquired by the Company pursuant to the Company Reacquisition Right.</w:t>
      </w:r>
    </w:p>
    <w:p>
      <w:pPr>
        <w:spacing w:after="0" w:line="156" w:lineRule="exact"/>
        <w:rPr>
          <w:sz w:val="20"/>
          <w:szCs w:val="20"/>
          <w:color w:val="auto"/>
        </w:rPr>
      </w:pPr>
    </w:p>
    <w:p>
      <w:pPr>
        <w:ind w:left="840" w:hanging="284"/>
        <w:spacing w:after="0"/>
        <w:tabs>
          <w:tab w:leader="none" w:pos="84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Escrow</w:t>
      </w:r>
      <w:r>
        <w:rPr>
          <w:rFonts w:ascii="Times New Roman" w:cs="Times New Roman" w:eastAsia="Times New Roman" w:hAnsi="Times New Roman"/>
          <w:sz w:val="16"/>
          <w:szCs w:val="16"/>
          <w:b w:val="1"/>
          <w:bCs w:val="1"/>
          <w:color w:val="auto"/>
        </w:rPr>
        <w:t>.</w:t>
      </w:r>
    </w:p>
    <w:p>
      <w:pPr>
        <w:spacing w:after="0" w:line="189" w:lineRule="exact"/>
        <w:rPr>
          <w:sz w:val="20"/>
          <w:szCs w:val="20"/>
          <w:color w:val="auto"/>
        </w:rPr>
      </w:pPr>
    </w:p>
    <w:p>
      <w:pPr>
        <w:ind w:right="20" w:firstLine="1120"/>
        <w:spacing w:after="0" w:line="250" w:lineRule="auto"/>
        <w:rPr>
          <w:sz w:val="20"/>
          <w:szCs w:val="20"/>
          <w:color w:val="auto"/>
        </w:rPr>
      </w:pPr>
      <w:r>
        <w:rPr>
          <w:rFonts w:ascii="Times New Roman" w:cs="Times New Roman" w:eastAsia="Times New Roman" w:hAnsi="Times New Roman"/>
          <w:sz w:val="16"/>
          <w:szCs w:val="16"/>
          <w:color w:val="auto"/>
        </w:rPr>
        <w:t xml:space="preserve">6.1 </w:t>
      </w:r>
      <w:r>
        <w:rPr>
          <w:rFonts w:ascii="Times New Roman" w:cs="Times New Roman" w:eastAsia="Times New Roman" w:hAnsi="Times New Roman"/>
          <w:sz w:val="16"/>
          <w:szCs w:val="16"/>
          <w:b w:val="1"/>
          <w:bCs w:val="1"/>
          <w:color w:val="auto"/>
        </w:rPr>
        <w:t>Appointment of Agent</w:t>
      </w:r>
      <w:r>
        <w:rPr>
          <w:rFonts w:ascii="Times New Roman" w:cs="Times New Roman" w:eastAsia="Times New Roman" w:hAnsi="Times New Roman"/>
          <w:sz w:val="16"/>
          <w:szCs w:val="16"/>
          <w:color w:val="auto"/>
        </w:rPr>
        <w:t xml:space="preserve">. To ensure that Shares subject to the Company Reacquisition Right will be available for reacquisition, the Participant and the Company hereby appoint the Secretary of the Company, or any other person designated by the Company, as their agent and as attorney-in-fact for the Participant (the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Agent</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to hold any and all Unvested Shares and to sell, assign and transfer to the Company any such Unvested Shares reacquired by the Company pursuant to the Company Reacquisition Right. The Participant understands that appointment of the Agent is a material inducement to make this Agreement and that such appointment is coupled with an interest and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529590</wp:posOffset>
            </wp:positionV>
            <wp:extent cx="6306185" cy="222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06185" cy="2222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46" w:name="page47"/>
    <w:bookmarkEnd w:id="46"/>
    <w:p>
      <w:pPr>
        <w:ind w:left="5" w:right="40"/>
        <w:spacing w:after="0" w:line="251" w:lineRule="auto"/>
        <w:rPr>
          <w:sz w:val="20"/>
          <w:szCs w:val="20"/>
          <w:color w:val="auto"/>
        </w:rPr>
      </w:pPr>
      <w:r>
        <w:rPr>
          <w:rFonts w:ascii="Times New Roman" w:cs="Times New Roman" w:eastAsia="Times New Roman" w:hAnsi="Times New Roman"/>
          <w:sz w:val="16"/>
          <w:szCs w:val="16"/>
          <w:color w:val="auto"/>
        </w:rPr>
        <w:t>irrevocable. The Agent shall not be personally liable for any act the Agent may do or omit to do hereunder as escrow agent, agent for the Company, or attorney in fact for the Participant while acting in good faith and in the exercise of the Agent’s own good judgment, and any act done or omitted by the Agent pursuant to the advice of the Agent’s own attorneys shall be conclusive evidence of such good faith. The Agent may rely upon any letter, notice or other document executed by any signature purporting to be genuine and may resign at any time.</w:t>
      </w:r>
    </w:p>
    <w:p>
      <w:pPr>
        <w:spacing w:after="0" w:line="162" w:lineRule="exact"/>
        <w:rPr>
          <w:sz w:val="20"/>
          <w:szCs w:val="20"/>
          <w:color w:val="auto"/>
        </w:rPr>
      </w:pPr>
    </w:p>
    <w:p>
      <w:pPr>
        <w:ind w:left="5" w:right="60" w:firstLine="1120"/>
        <w:spacing w:after="0" w:line="246" w:lineRule="auto"/>
        <w:rPr>
          <w:sz w:val="20"/>
          <w:szCs w:val="20"/>
          <w:color w:val="auto"/>
        </w:rPr>
      </w:pPr>
      <w:r>
        <w:rPr>
          <w:rFonts w:ascii="Times New Roman" w:cs="Times New Roman" w:eastAsia="Times New Roman" w:hAnsi="Times New Roman"/>
          <w:sz w:val="16"/>
          <w:szCs w:val="16"/>
          <w:color w:val="auto"/>
        </w:rPr>
        <w:t xml:space="preserve">6.2 </w:t>
      </w:r>
      <w:r>
        <w:rPr>
          <w:rFonts w:ascii="Times New Roman" w:cs="Times New Roman" w:eastAsia="Times New Roman" w:hAnsi="Times New Roman"/>
          <w:sz w:val="16"/>
          <w:szCs w:val="16"/>
          <w:b w:val="1"/>
          <w:bCs w:val="1"/>
          <w:color w:val="auto"/>
        </w:rPr>
        <w:t>Establishment of Escrow</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The Participant authorizes the Company to deposit the Unvested Shares with the Company’s transfer agent to be held in book entry form, as provided in Section 3.3, and the Participant agrees to deliver to and deposit with the Agent each certificate, if any, evidencing the Shares and, if required by the Company, an Assignment Separate from Certificate with respect to such book entry shares and each such certificate duly endorsed (with date and number of Shares blank) in the form attached to this Agreement, to be held by the Agent under the terms and conditions of this Section 6 (the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Escrow</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Upon the occurrence of an Ownership Change Event, a dividend or distribution to the stockholders of the Company paid in shares of Stock or other property (other than regular, periodic dividends paid on Stock pursuant to the Company’s dividend policy) or any other adjustment upon a change in the capital structure of the Company, as described in Section 9, any and all new, substituted or additional securities or other property to which the Participant is entitled by reason of his or her ownership of the Shares that remain, following such Ownership Change Event, dividend, distribution or change described in Section 9, subject to the Company Reacquisition Right shall be immediately subject to the Escrow to the same extent as the Shares immediately before such event. The Company shall bear the expenses of the Escrow.</w:t>
      </w:r>
    </w:p>
    <w:p>
      <w:pPr>
        <w:spacing w:after="0" w:line="168" w:lineRule="exact"/>
        <w:rPr>
          <w:sz w:val="20"/>
          <w:szCs w:val="20"/>
          <w:color w:val="auto"/>
        </w:rPr>
      </w:pPr>
    </w:p>
    <w:p>
      <w:pPr>
        <w:ind w:left="5" w:right="20" w:firstLine="1120"/>
        <w:spacing w:after="0" w:line="252" w:lineRule="auto"/>
        <w:rPr>
          <w:sz w:val="20"/>
          <w:szCs w:val="20"/>
          <w:color w:val="auto"/>
        </w:rPr>
      </w:pPr>
      <w:r>
        <w:rPr>
          <w:rFonts w:ascii="Times New Roman" w:cs="Times New Roman" w:eastAsia="Times New Roman" w:hAnsi="Times New Roman"/>
          <w:sz w:val="16"/>
          <w:szCs w:val="16"/>
          <w:color w:val="auto"/>
        </w:rPr>
        <w:t xml:space="preserve">6.3 </w:t>
      </w:r>
      <w:r>
        <w:rPr>
          <w:rFonts w:ascii="Times New Roman" w:cs="Times New Roman" w:eastAsia="Times New Roman" w:hAnsi="Times New Roman"/>
          <w:sz w:val="16"/>
          <w:szCs w:val="16"/>
          <w:b w:val="1"/>
          <w:bCs w:val="1"/>
          <w:color w:val="auto"/>
        </w:rPr>
        <w:t>Delivery of Shares to Participant</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The Escrow shall continue with respect to any Shares for so long as such Shares remain subject to the Company Reacquisition Right. Upon termination of the Company Reacquisition Right with respect to Shares, the Company shall so notify the Agent and direct the Agent to deliver such number of Shares to the Participant. As soon as practicable after receipt of such notice, the Agent shall cause the Shares specified by such notice to be delivered to the Participant, and the Escrow shall terminate with respect to such Shares.</w:t>
      </w:r>
    </w:p>
    <w:p>
      <w:pPr>
        <w:spacing w:after="0" w:line="161" w:lineRule="exact"/>
        <w:rPr>
          <w:sz w:val="20"/>
          <w:szCs w:val="20"/>
          <w:color w:val="auto"/>
        </w:rPr>
      </w:pPr>
    </w:p>
    <w:p>
      <w:pPr>
        <w:ind w:left="845" w:hanging="284"/>
        <w:spacing w:after="0"/>
        <w:tabs>
          <w:tab w:leader="none" w:pos="845"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Tax Matters</w:t>
      </w:r>
      <w:r>
        <w:rPr>
          <w:rFonts w:ascii="Times New Roman" w:cs="Times New Roman" w:eastAsia="Times New Roman" w:hAnsi="Times New Roman"/>
          <w:sz w:val="16"/>
          <w:szCs w:val="16"/>
          <w:b w:val="1"/>
          <w:bCs w:val="1"/>
          <w:color w:val="auto"/>
        </w:rPr>
        <w:t>.</w:t>
      </w:r>
    </w:p>
    <w:p>
      <w:pPr>
        <w:spacing w:after="0" w:line="189" w:lineRule="exact"/>
        <w:rPr>
          <w:sz w:val="20"/>
          <w:szCs w:val="20"/>
          <w:color w:val="auto"/>
        </w:rPr>
      </w:pPr>
    </w:p>
    <w:p>
      <w:pPr>
        <w:ind w:left="1125"/>
        <w:spacing w:after="0"/>
        <w:rPr>
          <w:sz w:val="20"/>
          <w:szCs w:val="20"/>
          <w:color w:val="auto"/>
        </w:rPr>
      </w:pPr>
      <w:r>
        <w:rPr>
          <w:rFonts w:ascii="Times New Roman" w:cs="Times New Roman" w:eastAsia="Times New Roman" w:hAnsi="Times New Roman"/>
          <w:sz w:val="16"/>
          <w:szCs w:val="16"/>
          <w:color w:val="auto"/>
        </w:rPr>
        <w:t xml:space="preserve">7.1 </w:t>
      </w:r>
      <w:r>
        <w:rPr>
          <w:rFonts w:ascii="Times New Roman" w:cs="Times New Roman" w:eastAsia="Times New Roman" w:hAnsi="Times New Roman"/>
          <w:sz w:val="16"/>
          <w:szCs w:val="16"/>
          <w:b w:val="1"/>
          <w:bCs w:val="1"/>
          <w:color w:val="auto"/>
        </w:rPr>
        <w:t>Tax Withholding.</w:t>
      </w:r>
    </w:p>
    <w:p>
      <w:pPr>
        <w:spacing w:after="0" w:line="189" w:lineRule="exact"/>
        <w:rPr>
          <w:sz w:val="20"/>
          <w:szCs w:val="20"/>
          <w:color w:val="auto"/>
        </w:rPr>
      </w:pPr>
    </w:p>
    <w:p>
      <w:pPr>
        <w:ind w:left="5" w:right="60" w:firstLine="1676"/>
        <w:spacing w:after="0" w:line="287" w:lineRule="auto"/>
        <w:tabs>
          <w:tab w:leader="none" w:pos="2245"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In General</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At the time the Grant Notice is executed, or at any time thereafter as requested by a Participating Company,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Participant agrees to make adequate provision for, any sums required to satisfy the federal, state, local and foreign tax (including any social insurance) withholding obligations of the Participating Company, if any, which arise in connection with the Award, including, without limitation, obligations arising upon</w:t>
      </w:r>
    </w:p>
    <w:p>
      <w:pPr>
        <w:ind w:left="205" w:hanging="205"/>
        <w:spacing w:after="0"/>
        <w:tabs>
          <w:tab w:leader="none" w:pos="205"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transfer of Shares to the Participant, (b) the lapsing of any restriction with respect to any Shares, (c) the filing of an election to recognize tax liability, or</w:t>
      </w:r>
    </w:p>
    <w:p>
      <w:pPr>
        <w:spacing w:after="0" w:line="25" w:lineRule="exact"/>
        <w:rPr>
          <w:rFonts w:ascii="Times New Roman" w:cs="Times New Roman" w:eastAsia="Times New Roman" w:hAnsi="Times New Roman"/>
          <w:sz w:val="14"/>
          <w:szCs w:val="14"/>
          <w:color w:val="auto"/>
        </w:rPr>
      </w:pPr>
    </w:p>
    <w:p>
      <w:pPr>
        <w:ind w:left="5" w:right="600" w:hanging="5"/>
        <w:spacing w:after="0" w:line="316" w:lineRule="auto"/>
        <w:tabs>
          <w:tab w:leader="none" w:pos="225"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transfer by the Participant of any Shares. The Company shall have no obligation to deliver the Shares or to release any Shares from the Escrow established pursuant to Section 6 until the tax withholding obligations of the Participating Company have been satisfied by the Participant.</w:t>
      </w:r>
    </w:p>
    <w:p>
      <w:pPr>
        <w:spacing w:after="0" w:line="118" w:lineRule="exact"/>
        <w:rPr>
          <w:rFonts w:ascii="Times New Roman" w:cs="Times New Roman" w:eastAsia="Times New Roman" w:hAnsi="Times New Roman"/>
          <w:sz w:val="14"/>
          <w:szCs w:val="14"/>
          <w:color w:val="auto"/>
        </w:rPr>
      </w:pPr>
    </w:p>
    <w:p>
      <w:pPr>
        <w:ind w:left="5" w:right="120" w:firstLine="1676"/>
        <w:spacing w:after="0" w:line="250" w:lineRule="auto"/>
        <w:tabs>
          <w:tab w:leader="none" w:pos="2245" w:val="left"/>
        </w:tabs>
        <w:numPr>
          <w:ilvl w:val="1"/>
          <w:numId w:val="4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b w:val="1"/>
          <w:bCs w:val="1"/>
          <w:i w:val="1"/>
          <w:iCs w:val="1"/>
          <w:color w:val="auto"/>
        </w:rPr>
        <w:t>Assignment of Sale Proceeds</w:t>
      </w:r>
      <w:r>
        <w:rPr>
          <w:rFonts w:ascii="Times New Roman" w:cs="Times New Roman" w:eastAsia="Times New Roman" w:hAnsi="Times New Roman"/>
          <w:sz w:val="16"/>
          <w:szCs w:val="16"/>
          <w:color w:val="auto"/>
        </w:rPr>
        <w:t>. Subject to compliance with applicable law and the Company’s Trading Compliance Policy,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if permitted by the Company, the Participant may satisfy the Participating Company’s tax withholding obligations in accordance with procedures established by the Company providing for delivery by the Participant to the Company or a broker approved by the Company of properly executed instructions, in a form approved by the Company, providing for the assignment to the Company of the proceeds of a sale with respect to some or all of the shares becoming Vested Shares on a Vesting Date as provided in the Grant Notice.</w:t>
      </w:r>
    </w:p>
    <w:p>
      <w:pPr>
        <w:spacing w:after="0" w:line="162" w:lineRule="exact"/>
        <w:rPr>
          <w:rFonts w:ascii="Times New Roman" w:cs="Times New Roman" w:eastAsia="Times New Roman" w:hAnsi="Times New Roman"/>
          <w:sz w:val="16"/>
          <w:szCs w:val="16"/>
          <w:i w:val="1"/>
          <w:iCs w:val="1"/>
          <w:color w:val="auto"/>
        </w:rPr>
      </w:pPr>
    </w:p>
    <w:p>
      <w:pPr>
        <w:ind w:left="5" w:firstLine="1676"/>
        <w:spacing w:after="0" w:line="250" w:lineRule="auto"/>
        <w:tabs>
          <w:tab w:leader="none" w:pos="2245"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Withholding in Shares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Company shall have the right, but not the obligation, to require the Participant to satisfy all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any portion of a Participating Company’s tax withholding obligations by withholding a number of whole, Vested Shares otherwise deliverable to the Participant or by the Participant’s tender to the Company of a number of whole, Vested Shares or vested shares acquired otherwise than pursuant to the Award having, in any such case, a fair market value, as determined by the Company as of the date on which the tax withholding obligations arise, not in excess of the amount of such tax withholding obligations determined by the applicable minimum statutory withholding rates.</w:t>
      </w:r>
    </w:p>
    <w:p>
      <w:pPr>
        <w:spacing w:after="0" w:line="162" w:lineRule="exact"/>
        <w:rPr>
          <w:sz w:val="20"/>
          <w:szCs w:val="20"/>
          <w:color w:val="auto"/>
        </w:rPr>
      </w:pPr>
    </w:p>
    <w:p>
      <w:pPr>
        <w:ind w:left="1125"/>
        <w:spacing w:after="0"/>
        <w:rPr>
          <w:sz w:val="20"/>
          <w:szCs w:val="20"/>
          <w:color w:val="auto"/>
        </w:rPr>
      </w:pPr>
      <w:r>
        <w:rPr>
          <w:rFonts w:ascii="Times New Roman" w:cs="Times New Roman" w:eastAsia="Times New Roman" w:hAnsi="Times New Roman"/>
          <w:sz w:val="16"/>
          <w:szCs w:val="16"/>
          <w:color w:val="auto"/>
        </w:rPr>
        <w:t xml:space="preserve">7.2 </w:t>
      </w:r>
      <w:r>
        <w:rPr>
          <w:rFonts w:ascii="Times New Roman" w:cs="Times New Roman" w:eastAsia="Times New Roman" w:hAnsi="Times New Roman"/>
          <w:sz w:val="16"/>
          <w:szCs w:val="16"/>
          <w:b w:val="1"/>
          <w:bCs w:val="1"/>
          <w:color w:val="auto"/>
        </w:rPr>
        <w:t>Election Under Section 83(b) of the Code.</w:t>
      </w:r>
    </w:p>
    <w:p>
      <w:pPr>
        <w:spacing w:after="0" w:line="191" w:lineRule="exact"/>
        <w:rPr>
          <w:sz w:val="20"/>
          <w:szCs w:val="20"/>
          <w:color w:val="auto"/>
        </w:rPr>
      </w:pPr>
    </w:p>
    <w:p>
      <w:pPr>
        <w:jc w:val="both"/>
        <w:ind w:left="5" w:right="100" w:firstLine="1676"/>
        <w:spacing w:after="0" w:line="290" w:lineRule="auto"/>
        <w:tabs>
          <w:tab w:leader="none" w:pos="2245"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Participant understands that Section 83 of the Code taxes as ordinary income the difference between the amount paid for the Shares, if anything, and the fair market value of the Shares as of the date on which the Shares are “substantially vested,” within the meaning of Section</w:t>
      </w:r>
    </w:p>
    <w:p>
      <w:pPr>
        <w:ind w:left="225" w:hanging="225"/>
        <w:spacing w:after="0"/>
        <w:tabs>
          <w:tab w:leader="none" w:pos="225"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this context,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535940</wp:posOffset>
            </wp:positionV>
            <wp:extent cx="6306185" cy="222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06185" cy="22225"/>
                    </a:xfrm>
                    <a:prstGeom prst="rect">
                      <a:avLst/>
                    </a:prstGeom>
                    <a:noFill/>
                  </pic:spPr>
                </pic:pic>
              </a:graphicData>
            </a:graphic>
          </wp:anchor>
        </w:drawing>
      </w:r>
    </w:p>
    <w:p>
      <w:pPr>
        <w:sectPr>
          <w:pgSz w:w="11900" w:h="16838" w:orient="portrait"/>
          <w:cols w:equalWidth="0" w:num="1">
            <w:col w:w="9945"/>
          </w:cols>
          <w:pgMar w:left="975" w:top="123" w:right="979" w:bottom="1440" w:gutter="0" w:footer="0" w:header="0"/>
        </w:sectPr>
      </w:pPr>
    </w:p>
    <w:bookmarkStart w:id="47" w:name="page48"/>
    <w:bookmarkEnd w:id="47"/>
    <w:p>
      <w:pPr>
        <w:spacing w:after="0" w:line="285" w:lineRule="auto"/>
        <w:rPr>
          <w:sz w:val="20"/>
          <w:szCs w:val="20"/>
          <w:color w:val="auto"/>
        </w:rPr>
      </w:pPr>
      <w:r>
        <w:rPr>
          <w:rFonts w:ascii="Times New Roman" w:cs="Times New Roman" w:eastAsia="Times New Roman" w:hAnsi="Times New Roman"/>
          <w:sz w:val="14"/>
          <w:szCs w:val="14"/>
          <w:color w:val="auto"/>
        </w:rPr>
        <w:t>“substantially vested” means that the right of the Company to reacquire the Shares pursuant to the Company Reacquisition Right has lapsed. The Participant understands that he or she may elect to have his or her taxable income determined at the time he or she acquires the Shares rather than when and as the Company Reacquisition Right lapses by filing an election under Section 83(b) of the Code with the Internal Revenue Service no later than thirty (30) days after the date of acquisition of the Shares. The Participant understands that failure to make a timely filing under Section 83(b) will result in his or her recognition of ordinary income, as the Company Reacquisition Right lapses, on the difference between the purchase price, if anything, and the fair market value of the Shares at the time such restrictions lapse. The Participant further understands, however, that if Shares with respect to which an election under Section 83(b) has been made are forfeited to the Company pursuant to its Company Reacquisition Right, such forfeiture will be treated as a sale on which there is realized a loss equal to the excess (if any) of the amount paid (if any) by the Participant for the forfeited Shares over the amount realized (if any) upon their forfeiture. If the Participant has paid nothing for the forfeited Shares and has received no payment upon their forfeiture, the Participant understands that he or she will be unable to recognize any loss on the forfeiture of the Shares even though the Participant incurred a tax liability by making an election under Section 83(b).</w:t>
      </w:r>
    </w:p>
    <w:p>
      <w:pPr>
        <w:spacing w:after="0" w:line="333" w:lineRule="exact"/>
        <w:rPr>
          <w:sz w:val="20"/>
          <w:szCs w:val="20"/>
          <w:color w:val="auto"/>
        </w:rPr>
      </w:pPr>
    </w:p>
    <w:p>
      <w:pPr>
        <w:ind w:right="20" w:firstLine="1676"/>
        <w:spacing w:after="0" w:line="287" w:lineRule="auto"/>
        <w:tabs>
          <w:tab w:leader="none" w:pos="224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Participant understands that he or she should consult with his or her tax advisor regarding the advisability of filing with the Internal Revenue Service an election under Section 83(b) of the Code, which must be filed no later than thirty (30) days after the date of the acquisition of the Shares pursuant to this Agreement. Failure to file an election under Section 83(b), if appropriate, may result in adverse tax consequences to the Participant. The Participant acknowledges that he or she has been advised to consult with a tax advisor regarding the tax consequences to the Participant of the acquisition of Shares hereunder. ANY ELECTION UNDER SECTION 83(b) THE PARTICIPANT WISHES TO MAKE MUST BE FILED NO LATER THAN 30 DAYS AFTER THE DATE ON WHICH THE PARTICIPANT ACQUIRES THE SHARES. THIS TIME PERIOD CANNOT BE EXTENDED. THE PARTICIPANT ACKNOWLEDGES THAT TIMELY FILING OF A SECTION 83(b) ELECTION IS THE PARTICIPANT’S SOLE RESPONSIBILITY, EVEN IF THE PARTICIPANT REQUESTS THE COMPANY OR ITS REPRESENTATIVE TO FILE SUCH ELECTION ON HIS OR HER BEHALF.</w:t>
      </w:r>
    </w:p>
    <w:p>
      <w:pPr>
        <w:spacing w:after="0" w:line="140" w:lineRule="exact"/>
        <w:rPr>
          <w:rFonts w:ascii="Times New Roman" w:cs="Times New Roman" w:eastAsia="Times New Roman" w:hAnsi="Times New Roman"/>
          <w:sz w:val="14"/>
          <w:szCs w:val="14"/>
          <w:color w:val="auto"/>
        </w:rPr>
      </w:pPr>
    </w:p>
    <w:p>
      <w:pPr>
        <w:ind w:firstLine="1676"/>
        <w:spacing w:after="0" w:line="255" w:lineRule="auto"/>
        <w:tabs>
          <w:tab w:leader="none" w:pos="2240"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Participant will notify the Company in writing if the Participant files an election pursuant to Section 83(b) of the Code. The Company intends, in the event it does not receive from the Participant evidence of such filing, to claim a tax deduction for any amount which would otherwise be taxable to the Participant in the absence of such an election.</w:t>
      </w:r>
    </w:p>
    <w:p>
      <w:pPr>
        <w:spacing w:after="0" w:line="158" w:lineRule="exact"/>
        <w:rPr>
          <w:rFonts w:ascii="Times New Roman" w:cs="Times New Roman" w:eastAsia="Times New Roman" w:hAnsi="Times New Roman"/>
          <w:sz w:val="16"/>
          <w:szCs w:val="16"/>
          <w:color w:val="auto"/>
        </w:rPr>
      </w:pPr>
    </w:p>
    <w:p>
      <w:pPr>
        <w:ind w:left="840" w:hanging="284"/>
        <w:spacing w:after="0"/>
        <w:tabs>
          <w:tab w:leader="none" w:pos="84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Effect of Change in Control</w:t>
      </w:r>
      <w:r>
        <w:rPr>
          <w:rFonts w:ascii="Times New Roman" w:cs="Times New Roman" w:eastAsia="Times New Roman" w:hAnsi="Times New Roman"/>
          <w:sz w:val="16"/>
          <w:szCs w:val="16"/>
          <w:u w:val="single" w:color="auto"/>
          <w:color w:val="auto"/>
        </w:rPr>
        <w:t>.</w:t>
      </w:r>
    </w:p>
    <w:p>
      <w:pPr>
        <w:spacing w:after="0" w:line="191" w:lineRule="exact"/>
        <w:rPr>
          <w:sz w:val="20"/>
          <w:szCs w:val="20"/>
          <w:color w:val="auto"/>
        </w:rPr>
      </w:pPr>
    </w:p>
    <w:p>
      <w:pPr>
        <w:ind w:right="60" w:firstLine="560"/>
        <w:spacing w:after="0" w:line="246" w:lineRule="auto"/>
        <w:rPr>
          <w:sz w:val="20"/>
          <w:szCs w:val="20"/>
          <w:color w:val="auto"/>
        </w:rPr>
      </w:pPr>
      <w:r>
        <w:rPr>
          <w:rFonts w:ascii="Times New Roman" w:cs="Times New Roman" w:eastAsia="Times New Roman" w:hAnsi="Times New Roman"/>
          <w:sz w:val="16"/>
          <w:szCs w:val="16"/>
          <w:color w:val="auto"/>
        </w:rPr>
        <w:t xml:space="preserve">In the event of a Change in Control, the Award shall be subject to the definitive agreement entered into by the Company in connection with the Change in Control. Except to the extent that the Committee determines to cash out the Shares in accordance with the terms of the Plan, the surviving, continuing, successor, or purchasing corporation or other business entity or parent thereof, as the case may be (the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Acquiror</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may, without the consent of the Participant, assume or continue in full force and effect the Company’s rights and obligations under the Award or substitute for the Award a substantially equivalent award for the Acquiror’s stock. For purposes of this Section, the Award shall be deemed assumed if, following the Change in Control, the Award confers the right to receive, subject to the terms and conditions of the Plan and this Agreement, for each Share subject to the Award immediately prior to the Change in Control, the consideration (whether stock, cash, other securities or property or a combination thereof) to which a holder of a share of Stock on the effective date of the Change in Control was entitled. Notwithstanding the foregoing, Shares acquired pursuant to the Award prior to the Change in Control and any consideration received pursuant to the Change in Control with respect to such shares shall continue to be subject to all applicable provisions of this Agreement except as otherwise provided herein.</w:t>
      </w:r>
    </w:p>
    <w:p>
      <w:pPr>
        <w:spacing w:after="0" w:line="166" w:lineRule="exact"/>
        <w:rPr>
          <w:sz w:val="20"/>
          <w:szCs w:val="20"/>
          <w:color w:val="auto"/>
        </w:rPr>
      </w:pPr>
    </w:p>
    <w:p>
      <w:pPr>
        <w:ind w:left="840" w:hanging="284"/>
        <w:spacing w:after="0"/>
        <w:tabs>
          <w:tab w:leader="none" w:pos="84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Adjustments for Changes in Capital Structure</w:t>
      </w:r>
      <w:r>
        <w:rPr>
          <w:rFonts w:ascii="Times New Roman" w:cs="Times New Roman" w:eastAsia="Times New Roman" w:hAnsi="Times New Roman"/>
          <w:sz w:val="16"/>
          <w:szCs w:val="16"/>
          <w:b w:val="1"/>
          <w:bCs w:val="1"/>
          <w:color w:val="auto"/>
        </w:rPr>
        <w:t>.</w:t>
      </w:r>
    </w:p>
    <w:p>
      <w:pPr>
        <w:spacing w:after="0" w:line="191" w:lineRule="exact"/>
        <w:rPr>
          <w:sz w:val="20"/>
          <w:szCs w:val="20"/>
          <w:color w:val="auto"/>
        </w:rPr>
      </w:pPr>
    </w:p>
    <w:p>
      <w:pPr>
        <w:ind w:firstLine="560"/>
        <w:spacing w:after="0" w:line="247" w:lineRule="auto"/>
        <w:rPr>
          <w:sz w:val="20"/>
          <w:szCs w:val="20"/>
          <w:color w:val="auto"/>
        </w:rPr>
      </w:pPr>
      <w:r>
        <w:rPr>
          <w:rFonts w:ascii="Times New Roman" w:cs="Times New Roman" w:eastAsia="Times New Roman" w:hAnsi="Times New Roman"/>
          <w:sz w:val="16"/>
          <w:szCs w:val="16"/>
          <w:color w:val="auto"/>
        </w:rPr>
        <w:t>Subject to any required action by the stockholders of the Company, in the event of any change in the Stock effected without receipt of consideration by the Company, whether through merger, consolidation, reorganization, reincorporation, recapitalization, reclassification, stock dividend, stock split, reverse stock split, split-up, split-off, spin- off, combination of shares, exchange of shares, or similar change in the capital structure of the Company, or in the event of payment of a dividend or distribution to the stockholders of the Company in a form other than Stock (other than regular, periodic cash dividends paid on Stock pursuant to the Company’s dividend policy) that has a material effect on the Fair Market Value of shares of Stock, appropriate and proportionate adjustments shall be made in the number and kind of shares of stock or other property subject to the Award, in order to prevent dilution or enlargement of the Participant’s rights under the Award. For purposes of the foregoing, conversion of any convertible securities of the Company shall not be treated as “effected without receipt of consideration by the Company.” Any and all new,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530860</wp:posOffset>
            </wp:positionV>
            <wp:extent cx="6306185" cy="222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06185" cy="2222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48" w:name="page49"/>
    <w:bookmarkEnd w:id="48"/>
    <w:p>
      <w:pPr>
        <w:ind w:right="320"/>
        <w:spacing w:after="0" w:line="249" w:lineRule="auto"/>
        <w:rPr>
          <w:sz w:val="20"/>
          <w:szCs w:val="20"/>
          <w:color w:val="auto"/>
        </w:rPr>
      </w:pPr>
      <w:r>
        <w:rPr>
          <w:rFonts w:ascii="Times New Roman" w:cs="Times New Roman" w:eastAsia="Times New Roman" w:hAnsi="Times New Roman"/>
          <w:sz w:val="16"/>
          <w:szCs w:val="16"/>
          <w:color w:val="auto"/>
        </w:rPr>
        <w:t>substituted or additional securities or other property (other than regular, periodic cash dividends paid on Stock pursuant to the Company’s dividend policy, subject to Section 5.3) to which Participant is entitled by reason of ownership of shares acquired pursuant to this Award will be immediately subject to the provisions of this Award on the same basis as all shares originally acquired hereunder. Any fractional share resulting from an adjustment pursuant to this Section shall be rounded down to the nearest whole number. Such adjustments shall be determined by the Committee, and its determination shall be final, binding and conclusive.</w:t>
      </w:r>
    </w:p>
    <w:p>
      <w:pPr>
        <w:spacing w:after="0" w:line="164" w:lineRule="exact"/>
        <w:rPr>
          <w:sz w:val="20"/>
          <w:szCs w:val="20"/>
          <w:color w:val="auto"/>
        </w:rPr>
      </w:pPr>
    </w:p>
    <w:p>
      <w:pPr>
        <w:ind w:left="840" w:hanging="284"/>
        <w:spacing w:after="0"/>
        <w:tabs>
          <w:tab w:leader="none" w:pos="8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Rights as a Stockholder, Director, Employee or Consultant</w:t>
      </w:r>
      <w:r>
        <w:rPr>
          <w:rFonts w:ascii="Times New Roman" w:cs="Times New Roman" w:eastAsia="Times New Roman" w:hAnsi="Times New Roman"/>
          <w:sz w:val="16"/>
          <w:szCs w:val="16"/>
          <w:b w:val="1"/>
          <w:bCs w:val="1"/>
          <w:color w:val="auto"/>
        </w:rPr>
        <w:t>.</w:t>
      </w:r>
    </w:p>
    <w:p>
      <w:pPr>
        <w:spacing w:after="0" w:line="191" w:lineRule="exact"/>
        <w:rPr>
          <w:sz w:val="20"/>
          <w:szCs w:val="20"/>
          <w:color w:val="auto"/>
        </w:rPr>
      </w:pPr>
    </w:p>
    <w:p>
      <w:pPr>
        <w:ind w:firstLine="560"/>
        <w:spacing w:after="0" w:line="246" w:lineRule="auto"/>
        <w:rPr>
          <w:sz w:val="20"/>
          <w:szCs w:val="20"/>
          <w:color w:val="auto"/>
        </w:rPr>
      </w:pPr>
      <w:r>
        <w:rPr>
          <w:rFonts w:ascii="Times New Roman" w:cs="Times New Roman" w:eastAsia="Times New Roman" w:hAnsi="Times New Roman"/>
          <w:sz w:val="16"/>
          <w:szCs w:val="16"/>
          <w:color w:val="auto"/>
        </w:rPr>
        <w:t>The Participant shall have no rights as a stockholder with respect to any Shares subject to the Award until the date of the issuance of the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9. Subject to the provisions of this Agreement, the Participant shall exercise all rights and privileges of a stockholder of the Company with respect to Shares deposited in the Escrow pursuant to Section 6, including the right to vote such Shares and to receive all dividends and other distributions paid with respect to such Shares, subject to Section 5.3. If the Participant is an Employee, the Participant understands and acknowledges that, except as otherwise provided in a separate, written employment agreement between a Participating Company and the Participant, the Participant’s employment is “at will” and is for no specified term. Nothing in this Agreement shall confer upon the Participant any right to continue in the Service of a Participating Company or interfere in any way with any right of the Participating Company Group to terminate the Participant’s Service at any time.</w:t>
      </w:r>
    </w:p>
    <w:p>
      <w:pPr>
        <w:spacing w:after="0" w:line="168" w:lineRule="exact"/>
        <w:rPr>
          <w:sz w:val="20"/>
          <w:szCs w:val="20"/>
          <w:color w:val="auto"/>
        </w:rPr>
      </w:pPr>
    </w:p>
    <w:p>
      <w:pPr>
        <w:ind w:left="840" w:hanging="284"/>
        <w:spacing w:after="0"/>
        <w:tabs>
          <w:tab w:leader="none" w:pos="84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Legends</w:t>
      </w:r>
      <w:r>
        <w:rPr>
          <w:rFonts w:ascii="Times New Roman" w:cs="Times New Roman" w:eastAsia="Times New Roman" w:hAnsi="Times New Roman"/>
          <w:sz w:val="16"/>
          <w:szCs w:val="16"/>
          <w:b w:val="1"/>
          <w:bCs w:val="1"/>
          <w:color w:val="auto"/>
        </w:rPr>
        <w:t>.</w:t>
      </w:r>
    </w:p>
    <w:p>
      <w:pPr>
        <w:spacing w:after="0" w:line="191" w:lineRule="exact"/>
        <w:rPr>
          <w:sz w:val="20"/>
          <w:szCs w:val="20"/>
          <w:color w:val="auto"/>
        </w:rPr>
      </w:pPr>
    </w:p>
    <w:p>
      <w:pPr>
        <w:ind w:right="80" w:firstLine="560"/>
        <w:spacing w:after="0" w:line="251" w:lineRule="auto"/>
        <w:rPr>
          <w:sz w:val="20"/>
          <w:szCs w:val="20"/>
          <w:color w:val="auto"/>
        </w:rPr>
      </w:pPr>
      <w:r>
        <w:rPr>
          <w:rFonts w:ascii="Times New Roman" w:cs="Times New Roman" w:eastAsia="Times New Roman" w:hAnsi="Times New Roman"/>
          <w:sz w:val="16"/>
          <w:szCs w:val="16"/>
          <w:color w:val="auto"/>
        </w:rPr>
        <w:t>The Company may at any time place legends referencing the Company Reacquisition Right and any applicable federal, state or foreign securities law restrictions on all certificates representing the Shares. The Participant shall, at the request of the Company, promptly present to the Company any and all certificates representing the Shares in the possession of the Participant in order to carry out the provisions of this Section. Unless otherwise specified by the Company, legends placed on such certificates may include, but shall not be limited to, the following:</w:t>
      </w:r>
    </w:p>
    <w:p>
      <w:pPr>
        <w:spacing w:after="0" w:line="164" w:lineRule="exact"/>
        <w:rPr>
          <w:sz w:val="20"/>
          <w:szCs w:val="20"/>
          <w:color w:val="auto"/>
        </w:rPr>
      </w:pPr>
    </w:p>
    <w:p>
      <w:pPr>
        <w:ind w:left="560" w:right="180"/>
        <w:spacing w:after="0" w:line="255" w:lineRule="auto"/>
        <w:rPr>
          <w:sz w:val="20"/>
          <w:szCs w:val="20"/>
          <w:color w:val="auto"/>
        </w:rPr>
      </w:pPr>
      <w:r>
        <w:rPr>
          <w:rFonts w:ascii="Times New Roman" w:cs="Times New Roman" w:eastAsia="Times New Roman" w:hAnsi="Times New Roman"/>
          <w:sz w:val="16"/>
          <w:szCs w:val="16"/>
          <w:color w:val="auto"/>
        </w:rPr>
        <w:t>“THE SECURITIES REPRESENTED BY THIS CERTIFICATE ARE SUBJECT TO RESTRICTIONS SET FORTH IN AN AGREEMENT BETWEEN THIS CORPORATION AND THE REGISTERED HOLDER, OR HIS PREDECESSOR IN INTEREST, A COPY OF WHICH IS ON FILE AT THE PRINCIPAL OFFICE OF THIS CORPORATION.”</w:t>
      </w:r>
    </w:p>
    <w:p>
      <w:pPr>
        <w:spacing w:after="0" w:line="158" w:lineRule="exact"/>
        <w:rPr>
          <w:sz w:val="20"/>
          <w:szCs w:val="20"/>
          <w:color w:val="auto"/>
        </w:rPr>
      </w:pPr>
    </w:p>
    <w:p>
      <w:pPr>
        <w:ind w:left="840" w:hanging="284"/>
        <w:spacing w:after="0"/>
        <w:tabs>
          <w:tab w:leader="none" w:pos="84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Transfers in Violation of Agreement</w:t>
      </w:r>
      <w:r>
        <w:rPr>
          <w:rFonts w:ascii="Times New Roman" w:cs="Times New Roman" w:eastAsia="Times New Roman" w:hAnsi="Times New Roman"/>
          <w:sz w:val="16"/>
          <w:szCs w:val="16"/>
          <w:color w:val="auto"/>
        </w:rPr>
        <w:t>.</w:t>
      </w:r>
    </w:p>
    <w:p>
      <w:pPr>
        <w:spacing w:after="0" w:line="191" w:lineRule="exact"/>
        <w:rPr>
          <w:sz w:val="20"/>
          <w:szCs w:val="20"/>
          <w:color w:val="auto"/>
        </w:rPr>
      </w:pPr>
    </w:p>
    <w:p>
      <w:pPr>
        <w:ind w:right="60" w:firstLine="560"/>
        <w:spacing w:after="0" w:line="248" w:lineRule="auto"/>
        <w:rPr>
          <w:sz w:val="20"/>
          <w:szCs w:val="20"/>
          <w:color w:val="auto"/>
        </w:rPr>
      </w:pPr>
      <w:r>
        <w:rPr>
          <w:rFonts w:ascii="Times New Roman" w:cs="Times New Roman" w:eastAsia="Times New Roman" w:hAnsi="Times New Roman"/>
          <w:sz w:val="16"/>
          <w:szCs w:val="16"/>
          <w:color w:val="auto"/>
        </w:rPr>
        <w:t>No Shares may be sold, exchanged, transferred, assigned, pledged, hypothecated or otherwise disposed of, including by operation of law, in any manner which violates any of the provisions of this Agreement and, except pursuant to an Ownership Change Event, until the date on which such shares become Vested Shares, and any such attempted disposition shall be void. The Company shall not be required (a) to transfer on its books any Shares which will have been transferred in violation of any of the provisions set forth in this Agreement or (b) to treat as owner of such Shares or to accord the right to vote as such owner or to pay dividends to any transferee to whom such Shares will have been so transferred. In order to enforce its rights under this Section, the Company shall be authorized to give a stop transfer instruction with respect to the Shares to the Company’s transfer agent.</w:t>
      </w:r>
    </w:p>
    <w:p>
      <w:pPr>
        <w:spacing w:after="0" w:line="164" w:lineRule="exact"/>
        <w:rPr>
          <w:sz w:val="20"/>
          <w:szCs w:val="20"/>
          <w:color w:val="auto"/>
        </w:rPr>
      </w:pPr>
    </w:p>
    <w:p>
      <w:pPr>
        <w:ind w:left="840" w:hanging="284"/>
        <w:spacing w:after="0"/>
        <w:tabs>
          <w:tab w:leader="none" w:pos="84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Miscellaneous Provisions</w:t>
      </w:r>
      <w:r>
        <w:rPr>
          <w:rFonts w:ascii="Times New Roman" w:cs="Times New Roman" w:eastAsia="Times New Roman" w:hAnsi="Times New Roman"/>
          <w:sz w:val="16"/>
          <w:szCs w:val="16"/>
          <w:color w:val="auto"/>
        </w:rPr>
        <w:t>.</w:t>
      </w:r>
    </w:p>
    <w:p>
      <w:pPr>
        <w:spacing w:after="0" w:line="189" w:lineRule="exact"/>
        <w:rPr>
          <w:sz w:val="20"/>
          <w:szCs w:val="20"/>
          <w:color w:val="auto"/>
        </w:rPr>
      </w:pPr>
    </w:p>
    <w:p>
      <w:pPr>
        <w:ind w:right="60" w:firstLine="1120"/>
        <w:spacing w:after="0" w:line="252" w:lineRule="auto"/>
        <w:rPr>
          <w:sz w:val="20"/>
          <w:szCs w:val="20"/>
          <w:color w:val="auto"/>
        </w:rPr>
      </w:pPr>
      <w:r>
        <w:rPr>
          <w:rFonts w:ascii="Times New Roman" w:cs="Times New Roman" w:eastAsia="Times New Roman" w:hAnsi="Times New Roman"/>
          <w:sz w:val="16"/>
          <w:szCs w:val="16"/>
          <w:color w:val="auto"/>
        </w:rPr>
        <w:t xml:space="preserve">13.1 </w:t>
      </w:r>
      <w:r>
        <w:rPr>
          <w:rFonts w:ascii="Times New Roman" w:cs="Times New Roman" w:eastAsia="Times New Roman" w:hAnsi="Times New Roman"/>
          <w:sz w:val="16"/>
          <w:szCs w:val="16"/>
          <w:b w:val="1"/>
          <w:bCs w:val="1"/>
          <w:color w:val="auto"/>
        </w:rPr>
        <w:t>Termination or Amendment</w:t>
      </w:r>
      <w:r>
        <w:rPr>
          <w:rFonts w:ascii="Times New Roman" w:cs="Times New Roman" w:eastAsia="Times New Roman" w:hAnsi="Times New Roman"/>
          <w:sz w:val="16"/>
          <w:szCs w:val="16"/>
          <w:color w:val="auto"/>
        </w:rPr>
        <w:t>. The Committee may terminate or amend the Plan or this Agreement at any time; provided, however, that no such termination or amendment may adversely affect the Participant’s rights under this Agreement without the consent of the Participant unless such termination or amendment is necessary to comply with applicable law or government regulation. No amendment or addition to this Agreement shall be effective unless in writing.</w:t>
      </w:r>
    </w:p>
    <w:p>
      <w:pPr>
        <w:spacing w:after="0" w:line="161" w:lineRule="exact"/>
        <w:rPr>
          <w:sz w:val="20"/>
          <w:szCs w:val="20"/>
          <w:color w:val="auto"/>
        </w:rPr>
      </w:pPr>
    </w:p>
    <w:p>
      <w:pPr>
        <w:ind w:right="380" w:firstLine="1120"/>
        <w:spacing w:after="0" w:line="252" w:lineRule="auto"/>
        <w:rPr>
          <w:sz w:val="20"/>
          <w:szCs w:val="20"/>
          <w:color w:val="auto"/>
        </w:rPr>
      </w:pPr>
      <w:r>
        <w:rPr>
          <w:rFonts w:ascii="Times New Roman" w:cs="Times New Roman" w:eastAsia="Times New Roman" w:hAnsi="Times New Roman"/>
          <w:sz w:val="16"/>
          <w:szCs w:val="16"/>
          <w:color w:val="auto"/>
        </w:rPr>
        <w:t xml:space="preserve">13.2 </w:t>
      </w:r>
      <w:r>
        <w:rPr>
          <w:rFonts w:ascii="Times New Roman" w:cs="Times New Roman" w:eastAsia="Times New Roman" w:hAnsi="Times New Roman"/>
          <w:sz w:val="16"/>
          <w:szCs w:val="16"/>
          <w:b w:val="1"/>
          <w:bCs w:val="1"/>
          <w:color w:val="auto"/>
        </w:rPr>
        <w:t>Nontransferability of the Award.</w:t>
      </w:r>
      <w:r>
        <w:rPr>
          <w:rFonts w:ascii="Times New Roman" w:cs="Times New Roman" w:eastAsia="Times New Roman" w:hAnsi="Times New Roman"/>
          <w:sz w:val="16"/>
          <w:szCs w:val="16"/>
          <w:color w:val="auto"/>
        </w:rPr>
        <w:t xml:space="preserve"> The right to acquire Shares pursuant to the Award shall not be subject in any manner to anticipation, alienation, sale, exchange, transfer, assignment, pledge, encumbrance, or garnishment by creditors of the Participant or the Participant’s beneficiary, except transfer by will or by the laws of descent and distribution rights with respect to the Award shall be exercisable during the Participant’s lifetime only by the Participant or the Participant’s guardian or legal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528955</wp:posOffset>
            </wp:positionV>
            <wp:extent cx="6306185" cy="222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06185" cy="2222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49" w:name="page50"/>
    <w:bookmarkEnd w:id="49"/>
    <w:p>
      <w:pPr>
        <w:ind w:right="660" w:firstLine="1120"/>
        <w:spacing w:after="0" w:line="270" w:lineRule="auto"/>
        <w:rPr>
          <w:sz w:val="20"/>
          <w:szCs w:val="20"/>
          <w:color w:val="auto"/>
        </w:rPr>
      </w:pPr>
      <w:r>
        <w:rPr>
          <w:rFonts w:ascii="Times New Roman" w:cs="Times New Roman" w:eastAsia="Times New Roman" w:hAnsi="Times New Roman"/>
          <w:sz w:val="16"/>
          <w:szCs w:val="16"/>
          <w:color w:val="auto"/>
        </w:rPr>
        <w:t xml:space="preserve">13.3 </w:t>
      </w:r>
      <w:r>
        <w:rPr>
          <w:rFonts w:ascii="Times New Roman" w:cs="Times New Roman" w:eastAsia="Times New Roman" w:hAnsi="Times New Roman"/>
          <w:sz w:val="16"/>
          <w:szCs w:val="16"/>
          <w:b w:val="1"/>
          <w:bCs w:val="1"/>
          <w:color w:val="auto"/>
        </w:rPr>
        <w:t>Further Instruments</w:t>
      </w:r>
      <w:r>
        <w:rPr>
          <w:rFonts w:ascii="Times New Roman" w:cs="Times New Roman" w:eastAsia="Times New Roman" w:hAnsi="Times New Roman"/>
          <w:sz w:val="16"/>
          <w:szCs w:val="16"/>
          <w:color w:val="auto"/>
        </w:rPr>
        <w:t>. The parties hereto agree to execute such further instruments and to take such further action as may reasonably be necessary to carry out the intent of this Agreement.</w:t>
      </w:r>
    </w:p>
    <w:p>
      <w:pPr>
        <w:spacing w:after="0" w:line="146" w:lineRule="exact"/>
        <w:rPr>
          <w:sz w:val="20"/>
          <w:szCs w:val="20"/>
          <w:color w:val="auto"/>
        </w:rPr>
      </w:pPr>
    </w:p>
    <w:p>
      <w:pPr>
        <w:ind w:right="580" w:firstLine="1120"/>
        <w:spacing w:after="0" w:line="343" w:lineRule="auto"/>
        <w:rPr>
          <w:sz w:val="20"/>
          <w:szCs w:val="20"/>
          <w:color w:val="auto"/>
        </w:rPr>
      </w:pPr>
      <w:r>
        <w:rPr>
          <w:rFonts w:ascii="Times New Roman" w:cs="Times New Roman" w:eastAsia="Times New Roman" w:hAnsi="Times New Roman"/>
          <w:sz w:val="14"/>
          <w:szCs w:val="14"/>
          <w:color w:val="auto"/>
        </w:rPr>
        <w:t xml:space="preserve">13.4 </w:t>
      </w:r>
      <w:r>
        <w:rPr>
          <w:rFonts w:ascii="Times New Roman" w:cs="Times New Roman" w:eastAsia="Times New Roman" w:hAnsi="Times New Roman"/>
          <w:sz w:val="14"/>
          <w:szCs w:val="14"/>
          <w:b w:val="1"/>
          <w:bCs w:val="1"/>
          <w:color w:val="auto"/>
        </w:rPr>
        <w:t>Binding Effect</w:t>
      </w:r>
      <w:r>
        <w:rPr>
          <w:rFonts w:ascii="Times New Roman" w:cs="Times New Roman" w:eastAsia="Times New Roman" w:hAnsi="Times New Roman"/>
          <w:sz w:val="14"/>
          <w:szCs w:val="14"/>
          <w:color w:val="auto"/>
        </w:rPr>
        <w:t>. This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100" w:lineRule="exact"/>
        <w:rPr>
          <w:sz w:val="20"/>
          <w:szCs w:val="20"/>
          <w:color w:val="auto"/>
        </w:rPr>
      </w:pPr>
    </w:p>
    <w:p>
      <w:pPr>
        <w:ind w:right="80" w:firstLine="1120"/>
        <w:spacing w:after="0" w:line="248" w:lineRule="auto"/>
        <w:rPr>
          <w:sz w:val="20"/>
          <w:szCs w:val="20"/>
          <w:color w:val="auto"/>
        </w:rPr>
      </w:pPr>
      <w:r>
        <w:rPr>
          <w:rFonts w:ascii="Times New Roman" w:cs="Times New Roman" w:eastAsia="Times New Roman" w:hAnsi="Times New Roman"/>
          <w:sz w:val="16"/>
          <w:szCs w:val="16"/>
          <w:color w:val="auto"/>
        </w:rPr>
        <w:t xml:space="preserve">13.5 </w:t>
      </w:r>
      <w:r>
        <w:rPr>
          <w:rFonts w:ascii="Times New Roman" w:cs="Times New Roman" w:eastAsia="Times New Roman" w:hAnsi="Times New Roman"/>
          <w:sz w:val="16"/>
          <w:szCs w:val="16"/>
          <w:b w:val="1"/>
          <w:bCs w:val="1"/>
          <w:color w:val="auto"/>
        </w:rPr>
        <w:t>Delivery of Documents and Notices</w:t>
      </w:r>
      <w:r>
        <w:rPr>
          <w:rFonts w:ascii="Times New Roman" w:cs="Times New Roman" w:eastAsia="Times New Roman" w:hAnsi="Times New Roman"/>
          <w:sz w:val="16"/>
          <w:szCs w:val="16"/>
          <w:color w:val="auto"/>
        </w:rPr>
        <w:t>.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foreign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spacing w:after="0" w:line="166" w:lineRule="exact"/>
        <w:rPr>
          <w:sz w:val="20"/>
          <w:szCs w:val="20"/>
          <w:color w:val="auto"/>
        </w:rPr>
      </w:pPr>
    </w:p>
    <w:p>
      <w:pPr>
        <w:ind w:firstLine="1676"/>
        <w:spacing w:after="0" w:line="248" w:lineRule="auto"/>
        <w:tabs>
          <w:tab w:leader="none" w:pos="224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Description of Electronic Delivery</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Plan documents, which may include but do not necessarily include: the Plan,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Grant Notice, this Agreement, the Plan Prospectus, and any reports of the Company provided generally to the Company’s stockholders, may be delivered to the Participant electronically. In addition, if permitted by the Company, the parties may deliver electronically any notices called for in connection with the Escrow and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spacing w:after="0" w:line="162" w:lineRule="exact"/>
        <w:rPr>
          <w:rFonts w:ascii="Times New Roman" w:cs="Times New Roman" w:eastAsia="Times New Roman" w:hAnsi="Times New Roman"/>
          <w:sz w:val="16"/>
          <w:szCs w:val="16"/>
          <w:color w:val="auto"/>
        </w:rPr>
      </w:pPr>
    </w:p>
    <w:p>
      <w:pPr>
        <w:ind w:right="40" w:firstLine="1676"/>
        <w:spacing w:after="0" w:line="286" w:lineRule="auto"/>
        <w:tabs>
          <w:tab w:leader="none" w:pos="22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Consent to Electronic Delivery</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Participant acknowledges that the Participant has read Section 13.5(a) of this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Agreement and consents to the electronic delivery of the Plan documents and, if permitted by the Company, the delivery of the Grant Notice and notices in connection with the Escrow, as described in Section 13.5(a).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13.5(a)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13.5(a).</w:t>
      </w:r>
    </w:p>
    <w:p>
      <w:pPr>
        <w:spacing w:after="0" w:line="327" w:lineRule="exact"/>
        <w:rPr>
          <w:sz w:val="20"/>
          <w:szCs w:val="20"/>
          <w:color w:val="auto"/>
        </w:rPr>
      </w:pPr>
    </w:p>
    <w:p>
      <w:pPr>
        <w:ind w:right="140" w:firstLine="1120"/>
        <w:spacing w:after="0" w:line="250" w:lineRule="auto"/>
        <w:rPr>
          <w:sz w:val="20"/>
          <w:szCs w:val="20"/>
          <w:color w:val="auto"/>
        </w:rPr>
      </w:pPr>
      <w:r>
        <w:rPr>
          <w:rFonts w:ascii="Times New Roman" w:cs="Times New Roman" w:eastAsia="Times New Roman" w:hAnsi="Times New Roman"/>
          <w:sz w:val="16"/>
          <w:szCs w:val="16"/>
          <w:color w:val="auto"/>
        </w:rPr>
        <w:t xml:space="preserve">13.6 </w:t>
      </w:r>
      <w:r>
        <w:rPr>
          <w:rFonts w:ascii="Times New Roman" w:cs="Times New Roman" w:eastAsia="Times New Roman" w:hAnsi="Times New Roman"/>
          <w:sz w:val="16"/>
          <w:szCs w:val="16"/>
          <w:b w:val="1"/>
          <w:bCs w:val="1"/>
          <w:color w:val="auto"/>
        </w:rPr>
        <w:t>Integrated Agreement</w:t>
      </w:r>
      <w:r>
        <w:rPr>
          <w:rFonts w:ascii="Times New Roman" w:cs="Times New Roman" w:eastAsia="Times New Roman" w:hAnsi="Times New Roman"/>
          <w:sz w:val="16"/>
          <w:szCs w:val="16"/>
          <w:color w:val="auto"/>
        </w:rPr>
        <w:t>. The Grant Notice, this Agreement and the Plan, together with the Superseding Agreement, if any,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w:t>
      </w:r>
    </w:p>
    <w:p>
      <w:pPr>
        <w:spacing w:after="0" w:line="162" w:lineRule="exact"/>
        <w:rPr>
          <w:sz w:val="20"/>
          <w:szCs w:val="20"/>
          <w:color w:val="auto"/>
        </w:rPr>
      </w:pPr>
    </w:p>
    <w:p>
      <w:pPr>
        <w:ind w:right="220" w:firstLine="1120"/>
        <w:spacing w:after="0" w:line="270" w:lineRule="auto"/>
        <w:rPr>
          <w:sz w:val="20"/>
          <w:szCs w:val="20"/>
          <w:color w:val="auto"/>
        </w:rPr>
      </w:pPr>
      <w:r>
        <w:rPr>
          <w:rFonts w:ascii="Times New Roman" w:cs="Times New Roman" w:eastAsia="Times New Roman" w:hAnsi="Times New Roman"/>
          <w:sz w:val="16"/>
          <w:szCs w:val="16"/>
          <w:color w:val="auto"/>
        </w:rPr>
        <w:t xml:space="preserve">13.7 </w:t>
      </w:r>
      <w:r>
        <w:rPr>
          <w:rFonts w:ascii="Times New Roman" w:cs="Times New Roman" w:eastAsia="Times New Roman" w:hAnsi="Times New Roman"/>
          <w:sz w:val="16"/>
          <w:szCs w:val="16"/>
          <w:b w:val="1"/>
          <w:bCs w:val="1"/>
          <w:color w:val="auto"/>
        </w:rPr>
        <w:t>Applicable Law</w:t>
      </w:r>
      <w:r>
        <w:rPr>
          <w:rFonts w:ascii="Times New Roman" w:cs="Times New Roman" w:eastAsia="Times New Roman" w:hAnsi="Times New Roman"/>
          <w:sz w:val="16"/>
          <w:szCs w:val="16"/>
          <w:color w:val="auto"/>
        </w:rPr>
        <w:t>. This Agreement shall be governed by the laws of the State of Delaware as such laws are applied to agreements between Delaware residents entered into and to be performed entirely within the State of Delaware.</w:t>
      </w:r>
    </w:p>
    <w:p>
      <w:pPr>
        <w:spacing w:after="0" w:line="146" w:lineRule="exact"/>
        <w:rPr>
          <w:sz w:val="20"/>
          <w:szCs w:val="20"/>
          <w:color w:val="auto"/>
        </w:rPr>
      </w:pPr>
    </w:p>
    <w:p>
      <w:pPr>
        <w:ind w:right="380" w:firstLine="1120"/>
        <w:spacing w:after="0" w:line="270" w:lineRule="auto"/>
        <w:rPr>
          <w:sz w:val="20"/>
          <w:szCs w:val="20"/>
          <w:color w:val="auto"/>
        </w:rPr>
      </w:pPr>
      <w:r>
        <w:rPr>
          <w:rFonts w:ascii="Times New Roman" w:cs="Times New Roman" w:eastAsia="Times New Roman" w:hAnsi="Times New Roman"/>
          <w:sz w:val="16"/>
          <w:szCs w:val="16"/>
          <w:color w:val="auto"/>
        </w:rPr>
        <w:t xml:space="preserve">13.8 </w:t>
      </w:r>
      <w:r>
        <w:rPr>
          <w:rFonts w:ascii="Times New Roman" w:cs="Times New Roman" w:eastAsia="Times New Roman" w:hAnsi="Times New Roman"/>
          <w:sz w:val="16"/>
          <w:szCs w:val="16"/>
          <w:b w:val="1"/>
          <w:bCs w:val="1"/>
          <w:color w:val="auto"/>
        </w:rPr>
        <w:t>Counterparts</w:t>
      </w:r>
      <w:r>
        <w:rPr>
          <w:rFonts w:ascii="Times New Roman" w:cs="Times New Roman" w:eastAsia="Times New Roman" w:hAnsi="Times New Roman"/>
          <w:sz w:val="16"/>
          <w:szCs w:val="16"/>
          <w:color w:val="auto"/>
        </w:rPr>
        <w:t>. The Grant Notice may be executed in counterparts, each of which shall be deemed an original, but all of which together shall constitute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282575</wp:posOffset>
            </wp:positionV>
            <wp:extent cx="6306185" cy="222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06185" cy="2222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6"/>
          <w:szCs w:val="16"/>
          <w:b w:val="1"/>
          <w:bCs w:val="1"/>
          <w:color w:val="auto"/>
        </w:rPr>
        <w:t>Exhibit 10.2</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BINAH CAPITAL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NOTICE OF GRANT OF RESTRICTED STOCK UNITS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U.S. Participants)</w:t>
      </w:r>
    </w:p>
    <w:p>
      <w:pPr>
        <w:spacing w:after="0" w:line="172"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 xml:space="preserve">Binah Capital Group, Inc. (the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has granted to the Participant an award (the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Award</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of certain restricted stock units pursuant to the Binah Capital Group, Inc. 2024 Equity Incentive Plan (the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Plan</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each of which represents the right to receive on the applicable Settlement Date one (1) share of Stock, as follows:</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2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Participant:</w:t>
            </w:r>
          </w:p>
        </w:tc>
        <w:tc>
          <w:tcPr>
            <w:tcW w:w="5640" w:type="dxa"/>
            <w:vAlign w:val="bottom"/>
          </w:tcPr>
          <w:p>
            <w:pPr>
              <w:ind w:left="3660"/>
              <w:spacing w:after="0"/>
              <w:rPr>
                <w:sz w:val="20"/>
                <w:szCs w:val="20"/>
                <w:color w:val="auto"/>
              </w:rPr>
            </w:pPr>
            <w:r>
              <w:rPr>
                <w:rFonts w:ascii="Times New Roman" w:cs="Times New Roman" w:eastAsia="Times New Roman" w:hAnsi="Times New Roman"/>
                <w:sz w:val="16"/>
                <w:szCs w:val="16"/>
                <w:b w:val="1"/>
                <w:bCs w:val="1"/>
                <w:color w:val="auto"/>
              </w:rPr>
              <w:t>Employee ID:</w:t>
            </w:r>
          </w:p>
        </w:tc>
        <w:tc>
          <w:tcPr>
            <w:tcW w:w="13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7"/>
        </w:trPr>
        <w:tc>
          <w:tcPr>
            <w:tcW w:w="2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Date of Grant:</w:t>
            </w:r>
          </w:p>
        </w:tc>
        <w:tc>
          <w:tcPr>
            <w:tcW w:w="56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7"/>
        </w:trPr>
        <w:tc>
          <w:tcPr>
            <w:tcW w:w="2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Number of Restricted</w:t>
            </w:r>
          </w:p>
        </w:tc>
        <w:tc>
          <w:tcPr>
            <w:tcW w:w="5640" w:type="dxa"/>
            <w:vAlign w:val="bottom"/>
          </w:tcPr>
          <w:p>
            <w:pPr>
              <w:ind w:left="760"/>
              <w:spacing w:after="0"/>
              <w:rPr>
                <w:sz w:val="20"/>
                <w:szCs w:val="20"/>
                <w:color w:val="auto"/>
              </w:rPr>
            </w:pPr>
            <w:r>
              <w:rPr>
                <w:rFonts w:ascii="Times New Roman" w:cs="Times New Roman" w:eastAsia="Times New Roman" w:hAnsi="Times New Roman"/>
                <w:sz w:val="16"/>
                <w:szCs w:val="16"/>
                <w:color w:val="auto"/>
                <w:w w:val="98"/>
              </w:rPr>
              <w:t>, subject to adjustment as provided by the Restricted Stock Units Agreement.</w:t>
            </w:r>
          </w:p>
        </w:tc>
        <w:tc>
          <w:tcPr>
            <w:tcW w:w="13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5"/>
        </w:trPr>
        <w:tc>
          <w:tcPr>
            <w:tcW w:w="2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 Units:</w:t>
            </w:r>
          </w:p>
        </w:tc>
        <w:tc>
          <w:tcPr>
            <w:tcW w:w="5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358"/>
        </w:trPr>
        <w:tc>
          <w:tcPr>
            <w:tcW w:w="2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Settlement Date:</w:t>
            </w:r>
          </w:p>
        </w:tc>
        <w:tc>
          <w:tcPr>
            <w:tcW w:w="780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auto"/>
                <w:w w:val="99"/>
              </w:rPr>
              <w:t>Except as provided by the Restricted Stock Units Agreement, the date on which a Restricted Stock Unit becomes a</w:t>
            </w:r>
          </w:p>
        </w:tc>
      </w:tr>
      <w:tr>
        <w:trPr>
          <w:trHeight w:val="203"/>
        </w:trPr>
        <w:tc>
          <w:tcPr>
            <w:tcW w:w="2080" w:type="dxa"/>
            <w:vAlign w:val="bottom"/>
          </w:tcPr>
          <w:p>
            <w:pPr>
              <w:spacing w:after="0"/>
              <w:rPr>
                <w:sz w:val="17"/>
                <w:szCs w:val="17"/>
                <w:color w:val="auto"/>
              </w:rPr>
            </w:pPr>
          </w:p>
        </w:tc>
        <w:tc>
          <w:tcPr>
            <w:tcW w:w="56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Vested Unit.</w:t>
            </w: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3"/>
        </w:trPr>
        <w:tc>
          <w:tcPr>
            <w:tcW w:w="2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Vesting Start Date:</w:t>
            </w:r>
          </w:p>
        </w:tc>
        <w:tc>
          <w:tcPr>
            <w:tcW w:w="56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8"/>
        </w:trPr>
        <w:tc>
          <w:tcPr>
            <w:tcW w:w="2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Vested Units:</w:t>
            </w:r>
          </w:p>
        </w:tc>
        <w:tc>
          <w:tcPr>
            <w:tcW w:w="780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auto"/>
              </w:rPr>
              <w:t>Except as provided in the Restricted Stock Units Agreement and provided that the Participant’s Service has not</w:t>
            </w:r>
          </w:p>
        </w:tc>
      </w:tr>
      <w:tr>
        <w:trPr>
          <w:trHeight w:val="187"/>
        </w:trPr>
        <w:tc>
          <w:tcPr>
            <w:tcW w:w="2080" w:type="dxa"/>
            <w:vAlign w:val="bottom"/>
          </w:tcPr>
          <w:p>
            <w:pPr>
              <w:spacing w:after="0"/>
              <w:rPr>
                <w:sz w:val="16"/>
                <w:szCs w:val="16"/>
                <w:color w:val="auto"/>
              </w:rPr>
            </w:pPr>
          </w:p>
        </w:tc>
        <w:tc>
          <w:tcPr>
            <w:tcW w:w="780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auto"/>
                <w:w w:val="98"/>
              </w:rPr>
              <w:t>terminated prior to the applicable date, the Restricted Stock Units shall become Vested Units in accordance with the</w:t>
            </w:r>
          </w:p>
        </w:tc>
      </w:tr>
      <w:tr>
        <w:trPr>
          <w:trHeight w:val="185"/>
        </w:trPr>
        <w:tc>
          <w:tcPr>
            <w:tcW w:w="2080" w:type="dxa"/>
            <w:vAlign w:val="bottom"/>
          </w:tcPr>
          <w:p>
            <w:pPr>
              <w:spacing w:after="0"/>
              <w:rPr>
                <w:sz w:val="16"/>
                <w:szCs w:val="16"/>
                <w:color w:val="auto"/>
              </w:rPr>
            </w:pPr>
          </w:p>
        </w:tc>
        <w:tc>
          <w:tcPr>
            <w:tcW w:w="780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auto"/>
                <w:w w:val="99"/>
              </w:rPr>
              <w:t>following vesting schedule (disregarding any resulting fractional unit), as of any date is determined by multiplying</w:t>
            </w:r>
          </w:p>
        </w:tc>
      </w:tr>
      <w:tr>
        <w:trPr>
          <w:trHeight w:val="187"/>
        </w:trPr>
        <w:tc>
          <w:tcPr>
            <w:tcW w:w="2080" w:type="dxa"/>
            <w:vAlign w:val="bottom"/>
          </w:tcPr>
          <w:p>
            <w:pPr>
              <w:spacing w:after="0"/>
              <w:rPr>
                <w:sz w:val="16"/>
                <w:szCs w:val="16"/>
                <w:color w:val="auto"/>
              </w:rPr>
            </w:pPr>
          </w:p>
        </w:tc>
        <w:tc>
          <w:tcPr>
            <w:tcW w:w="780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auto"/>
              </w:rPr>
              <w:t>the Number of Restricted Stock units by the “</w:t>
            </w:r>
            <w:r>
              <w:rPr>
                <w:rFonts w:ascii="Times New Roman" w:cs="Times New Roman" w:eastAsia="Times New Roman" w:hAnsi="Times New Roman"/>
                <w:sz w:val="16"/>
                <w:szCs w:val="16"/>
                <w:b w:val="1"/>
                <w:bCs w:val="1"/>
                <w:i w:val="1"/>
                <w:iCs w:val="1"/>
                <w:color w:val="auto"/>
              </w:rPr>
              <w:t>Vested Ratio</w:t>
            </w:r>
            <w:r>
              <w:rPr>
                <w:rFonts w:ascii="Times New Roman" w:cs="Times New Roman" w:eastAsia="Times New Roman" w:hAnsi="Times New Roman"/>
                <w:sz w:val="16"/>
                <w:szCs w:val="16"/>
                <w:color w:val="auto"/>
              </w:rPr>
              <w:t>” determined as of such date, as follows:</w:t>
            </w:r>
          </w:p>
        </w:tc>
      </w:tr>
      <w:tr>
        <w:trPr>
          <w:trHeight w:val="170"/>
        </w:trPr>
        <w:tc>
          <w:tcPr>
            <w:tcW w:w="208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4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b w:val="1"/>
                <w:bCs w:val="1"/>
                <w:color w:val="auto"/>
                <w:w w:val="93"/>
              </w:rPr>
              <w:t>Vested Ratio</w:t>
            </w:r>
          </w:p>
        </w:tc>
      </w:tr>
      <w:tr>
        <w:trPr>
          <w:trHeight w:val="201"/>
        </w:trPr>
        <w:tc>
          <w:tcPr>
            <w:tcW w:w="2080" w:type="dxa"/>
            <w:vAlign w:val="bottom"/>
          </w:tcPr>
          <w:p>
            <w:pPr>
              <w:spacing w:after="0"/>
              <w:rPr>
                <w:sz w:val="17"/>
                <w:szCs w:val="17"/>
                <w:color w:val="auto"/>
              </w:rPr>
            </w:pPr>
          </w:p>
        </w:tc>
        <w:tc>
          <w:tcPr>
            <w:tcW w:w="56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Prior to first anniversary of the Vesting Start Date</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r>
      <w:tr>
        <w:trPr>
          <w:trHeight w:val="373"/>
        </w:trPr>
        <w:tc>
          <w:tcPr>
            <w:tcW w:w="2080" w:type="dxa"/>
            <w:vAlign w:val="bottom"/>
          </w:tcPr>
          <w:p>
            <w:pPr>
              <w:spacing w:after="0"/>
              <w:rPr>
                <w:sz w:val="24"/>
                <w:szCs w:val="24"/>
                <w:color w:val="auto"/>
              </w:rPr>
            </w:pPr>
          </w:p>
        </w:tc>
        <w:tc>
          <w:tcPr>
            <w:tcW w:w="56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On first and second anniversaries of the Vesting Start Date</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358"/>
        </w:trPr>
        <w:tc>
          <w:tcPr>
            <w:tcW w:w="2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Accelerated Vesting:</w:t>
            </w:r>
          </w:p>
        </w:tc>
        <w:tc>
          <w:tcPr>
            <w:tcW w:w="780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auto"/>
              </w:rPr>
              <w:t>Immediately before and contingent upon a Change in Control (as defined in the Plan), provided the Participant’s</w:t>
            </w:r>
          </w:p>
        </w:tc>
      </w:tr>
      <w:tr>
        <w:trPr>
          <w:trHeight w:val="203"/>
        </w:trPr>
        <w:tc>
          <w:tcPr>
            <w:tcW w:w="2080" w:type="dxa"/>
            <w:vAlign w:val="bottom"/>
          </w:tcPr>
          <w:p>
            <w:pPr>
              <w:spacing w:after="0"/>
              <w:rPr>
                <w:sz w:val="17"/>
                <w:szCs w:val="17"/>
                <w:color w:val="auto"/>
              </w:rPr>
            </w:pPr>
          </w:p>
        </w:tc>
        <w:tc>
          <w:tcPr>
            <w:tcW w:w="780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auto"/>
                <w:w w:val="97"/>
              </w:rPr>
              <w:t>Service has not terminated prior to the applicable date, 100% of the Restricted Stock Units will become Vested Units.</w:t>
            </w:r>
          </w:p>
        </w:tc>
      </w:tr>
      <w:tr>
        <w:trPr>
          <w:trHeight w:val="373"/>
        </w:trPr>
        <w:tc>
          <w:tcPr>
            <w:tcW w:w="2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Superseding Agreement:</w:t>
            </w:r>
          </w:p>
        </w:tc>
        <w:tc>
          <w:tcPr>
            <w:tcW w:w="56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Employment Agreement between the Company and the Participant dated as of</w:t>
            </w:r>
          </w:p>
        </w:tc>
        <w:tc>
          <w:tcPr>
            <w:tcW w:w="216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 as amended from time to time.</w:t>
            </w:r>
          </w:p>
        </w:tc>
      </w:tr>
    </w:tbl>
    <w:p>
      <w:pPr>
        <w:spacing w:after="0" w:line="1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By their signatures below or by electronic acceptance or authentication in a form authorized by the Company, the Company and the Participant agree that the Award is governed by this Grant Notice and by the provisions of the Restricted Stock Units Agreement and the Plan, both of which are made a part of this document, and by the Superseding Agreement, if any. The Participant acknowledges that copies of the Plan, the Restricted Stock Units Agreement and the prospectus for the Plan are available on the Company’s internal web site and may be viewed and printed by the Participant for attachment to the Participant’s copy of this Grant Notice. The Participant represents that the Participant has read and is familiar with the provisions of the Restricted Stock Units Agreement and the Plan, and hereby accepts the Award subject to all of their terms and conditions.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BINAH CAPITAL GROUP, INC.</w:t>
            </w:r>
          </w:p>
        </w:tc>
        <w:tc>
          <w:tcPr>
            <w:tcW w:w="50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PARTICIPANT</w:t>
            </w:r>
          </w:p>
        </w:tc>
        <w:tc>
          <w:tcPr>
            <w:tcW w:w="0" w:type="dxa"/>
            <w:vAlign w:val="bottom"/>
          </w:tcPr>
          <w:p>
            <w:pPr>
              <w:spacing w:after="0"/>
              <w:rPr>
                <w:sz w:val="1"/>
                <w:szCs w:val="1"/>
                <w:color w:val="auto"/>
              </w:rPr>
            </w:pPr>
          </w:p>
        </w:tc>
      </w:tr>
      <w:tr>
        <w:trPr>
          <w:trHeight w:val="373"/>
        </w:trPr>
        <w:tc>
          <w:tcPr>
            <w:tcW w:w="4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By:</w:t>
            </w:r>
          </w:p>
        </w:tc>
        <w:tc>
          <w:tcPr>
            <w:tcW w:w="2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4140" w:type="dxa"/>
            <w:vAlign w:val="bottom"/>
            <w:tcBorders>
              <w:top w:val="single" w:sz="8" w:color="auto"/>
            </w:tcBorders>
          </w:tcPr>
          <w:p>
            <w:pPr>
              <w:spacing w:after="0" w:line="162" w:lineRule="exact"/>
              <w:rPr>
                <w:sz w:val="20"/>
                <w:szCs w:val="20"/>
                <w:color w:val="auto"/>
              </w:rPr>
            </w:pPr>
            <w:r>
              <w:rPr>
                <w:rFonts w:ascii="Times New Roman" w:cs="Times New Roman" w:eastAsia="Times New Roman" w:hAnsi="Times New Roman"/>
                <w:sz w:val="16"/>
                <w:szCs w:val="16"/>
                <w:color w:val="auto"/>
              </w:rPr>
              <w:t>Name:</w:t>
            </w:r>
          </w:p>
        </w:tc>
        <w:tc>
          <w:tcPr>
            <w:tcW w:w="220" w:type="dxa"/>
            <w:vAlign w:val="bottom"/>
          </w:tcPr>
          <w:p>
            <w:pPr>
              <w:spacing w:after="0"/>
              <w:rPr>
                <w:sz w:val="14"/>
                <w:szCs w:val="14"/>
                <w:color w:val="auto"/>
              </w:rPr>
            </w:pPr>
          </w:p>
        </w:tc>
        <w:tc>
          <w:tcPr>
            <w:tcW w:w="4820" w:type="dxa"/>
            <w:vAlign w:val="bottom"/>
            <w:tcBorders>
              <w:top w:val="single" w:sz="8" w:color="auto"/>
            </w:tcBorders>
          </w:tcPr>
          <w:p>
            <w:pPr>
              <w:spacing w:after="0" w:line="162" w:lineRule="exact"/>
              <w:rPr>
                <w:sz w:val="20"/>
                <w:szCs w:val="20"/>
                <w:color w:val="auto"/>
              </w:rPr>
            </w:pPr>
            <w:r>
              <w:rPr>
                <w:rFonts w:ascii="Times New Roman" w:cs="Times New Roman" w:eastAsia="Times New Roman" w:hAnsi="Times New Roman"/>
                <w:sz w:val="16"/>
                <w:szCs w:val="16"/>
                <w:color w:val="auto"/>
              </w:rPr>
              <w:t>Signature</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220" w:type="dxa"/>
            <w:vAlign w:val="bottom"/>
          </w:tcPr>
          <w:p>
            <w:pPr>
              <w:spacing w:after="0"/>
              <w:rPr>
                <w:sz w:val="17"/>
                <w:szCs w:val="17"/>
                <w:color w:val="auto"/>
              </w:rPr>
            </w:pPr>
          </w:p>
        </w:tc>
        <w:tc>
          <w:tcPr>
            <w:tcW w:w="4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8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Address:  80 State Street</w:t>
            </w:r>
          </w:p>
        </w:tc>
        <w:tc>
          <w:tcPr>
            <w:tcW w:w="220" w:type="dxa"/>
            <w:vAlign w:val="bottom"/>
          </w:tcPr>
          <w:p>
            <w:pPr>
              <w:spacing w:after="0"/>
              <w:rPr>
                <w:sz w:val="16"/>
                <w:szCs w:val="16"/>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0" w:type="dxa"/>
            <w:vAlign w:val="bottom"/>
          </w:tcPr>
          <w:p>
            <w:pPr>
              <w:spacing w:after="0"/>
              <w:rPr>
                <w:sz w:val="1"/>
                <w:szCs w:val="1"/>
                <w:color w:val="auto"/>
              </w:rPr>
            </w:pPr>
          </w:p>
        </w:tc>
      </w:tr>
      <w:tr>
        <w:trPr>
          <w:trHeight w:val="170"/>
        </w:trPr>
        <w:tc>
          <w:tcPr>
            <w:tcW w:w="48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40" w:type="dxa"/>
            <w:vAlign w:val="bottom"/>
          </w:tcPr>
          <w:p>
            <w:pPr>
              <w:spacing w:after="0"/>
              <w:rPr>
                <w:sz w:val="16"/>
                <w:szCs w:val="16"/>
                <w:color w:val="auto"/>
              </w:rPr>
            </w:pPr>
          </w:p>
        </w:tc>
        <w:tc>
          <w:tcPr>
            <w:tcW w:w="41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Albany, NY 12207</w:t>
            </w:r>
          </w:p>
        </w:tc>
        <w:tc>
          <w:tcPr>
            <w:tcW w:w="220" w:type="dxa"/>
            <w:vAlign w:val="bottom"/>
          </w:tcPr>
          <w:p>
            <w:pPr>
              <w:spacing w:after="0"/>
              <w:rPr>
                <w:sz w:val="16"/>
                <w:szCs w:val="16"/>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Address</w:t>
            </w:r>
          </w:p>
        </w:tc>
        <w:tc>
          <w:tcPr>
            <w:tcW w:w="0" w:type="dxa"/>
            <w:vAlign w:val="bottom"/>
          </w:tcPr>
          <w:p>
            <w:pPr>
              <w:spacing w:after="0"/>
              <w:rPr>
                <w:sz w:val="1"/>
                <w:szCs w:val="1"/>
                <w:color w:val="auto"/>
              </w:rPr>
            </w:pPr>
          </w:p>
        </w:tc>
      </w:tr>
      <w:tr>
        <w:trPr>
          <w:trHeight w:val="933"/>
        </w:trPr>
        <w:tc>
          <w:tcPr>
            <w:tcW w:w="74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121" w:right="97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6"/>
          <w:szCs w:val="16"/>
          <w:b w:val="1"/>
          <w:bCs w:val="1"/>
          <w:color w:val="auto"/>
        </w:rPr>
        <w:t>BINAH CAPITAL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RESTRICTED STOCK UNITS AGREEMENT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U.S. Participants)</w:t>
      </w:r>
    </w:p>
    <w:p>
      <w:pPr>
        <w:spacing w:after="0" w:line="172" w:lineRule="exact"/>
        <w:rPr>
          <w:sz w:val="20"/>
          <w:szCs w:val="20"/>
          <w:color w:val="auto"/>
        </w:rPr>
      </w:pPr>
    </w:p>
    <w:p>
      <w:pPr>
        <w:jc w:val="both"/>
        <w:ind w:firstLine="559"/>
        <w:spacing w:after="0" w:line="246" w:lineRule="auto"/>
        <w:rPr>
          <w:sz w:val="20"/>
          <w:szCs w:val="20"/>
          <w:color w:val="auto"/>
        </w:rPr>
      </w:pPr>
      <w:r>
        <w:rPr>
          <w:rFonts w:ascii="Times New Roman" w:cs="Times New Roman" w:eastAsia="Times New Roman" w:hAnsi="Times New Roman"/>
          <w:sz w:val="16"/>
          <w:szCs w:val="16"/>
          <w:color w:val="auto"/>
        </w:rPr>
        <w:t>Binah Capital Group, Inc.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xml:space="preserve">”) has granted to the Participant named in the </w:t>
      </w:r>
      <w:r>
        <w:rPr>
          <w:rFonts w:ascii="Times New Roman" w:cs="Times New Roman" w:eastAsia="Times New Roman" w:hAnsi="Times New Roman"/>
          <w:sz w:val="16"/>
          <w:szCs w:val="16"/>
          <w:i w:val="1"/>
          <w:iCs w:val="1"/>
          <w:color w:val="auto"/>
        </w:rPr>
        <w:t>Notice of Grant of Restricted Stock Units</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Grant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Notice</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to which this Restricted Stock Units Agreement (this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Agreement</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is attached an Award consisting of Restricted Stock Units (each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Unit</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subject to the terms and conditions set forth in the Grant Notice and this Agreement. The Award has been granted pursuant to and will in all respects be subject to the terms and conditions of the Binah Capital Group, Inc. 2024 Equity Incentive Plan (the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Plan</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as amended to the Date of Grant,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issuable pursuant to the Award (the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Plan Prospectus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(b) accepts the Award subject to all of the terms and conditions of the Grant Notice, this Agreement and the Plan and (c) agrees to accept as binding, conclusive and final all decisions or interpretations of the Committee upon any questions arising under the Grant Notice, this Agreement or the Plan.</w:t>
      </w:r>
    </w:p>
    <w:p>
      <w:pPr>
        <w:spacing w:after="0" w:line="170" w:lineRule="exact"/>
        <w:rPr>
          <w:sz w:val="20"/>
          <w:szCs w:val="20"/>
          <w:color w:val="auto"/>
        </w:rPr>
      </w:pPr>
    </w:p>
    <w:p>
      <w:pPr>
        <w:ind w:left="740" w:hanging="184"/>
        <w:spacing w:after="0"/>
        <w:tabs>
          <w:tab w:leader="none" w:pos="74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Definitions and Construction</w:t>
      </w:r>
      <w:r>
        <w:rPr>
          <w:rFonts w:ascii="Times New Roman" w:cs="Times New Roman" w:eastAsia="Times New Roman" w:hAnsi="Times New Roman"/>
          <w:sz w:val="16"/>
          <w:szCs w:val="16"/>
          <w:b w:val="1"/>
          <w:bCs w:val="1"/>
          <w:color w:val="auto"/>
        </w:rPr>
        <w:t>.</w:t>
      </w:r>
    </w:p>
    <w:p>
      <w:pPr>
        <w:spacing w:after="0" w:line="189" w:lineRule="exact"/>
        <w:rPr>
          <w:sz w:val="20"/>
          <w:szCs w:val="20"/>
          <w:color w:val="auto"/>
        </w:rPr>
      </w:pPr>
    </w:p>
    <w:p>
      <w:pPr>
        <w:ind w:left="1120"/>
        <w:spacing w:after="0"/>
        <w:tabs>
          <w:tab w:leader="none" w:pos="1520" w:val="left"/>
        </w:tabs>
        <w:rPr>
          <w:sz w:val="20"/>
          <w:szCs w:val="20"/>
          <w:color w:val="auto"/>
        </w:rPr>
      </w:pPr>
      <w:r>
        <w:rPr>
          <w:rFonts w:ascii="Times New Roman" w:cs="Times New Roman" w:eastAsia="Times New Roman" w:hAnsi="Times New Roman"/>
          <w:sz w:val="16"/>
          <w:szCs w:val="16"/>
          <w:color w:val="auto"/>
        </w:rPr>
        <w:t>1.1</w:t>
      </w:r>
      <w:r>
        <w:rPr>
          <w:sz w:val="20"/>
          <w:szCs w:val="20"/>
          <w:color w:val="auto"/>
        </w:rPr>
        <w:tab/>
      </w:r>
      <w:r>
        <w:rPr>
          <w:rFonts w:ascii="Times New Roman" w:cs="Times New Roman" w:eastAsia="Times New Roman" w:hAnsi="Times New Roman"/>
          <w:sz w:val="14"/>
          <w:szCs w:val="14"/>
          <w:b w:val="1"/>
          <w:bCs w:val="1"/>
          <w:color w:val="auto"/>
        </w:rPr>
        <w:t>Definitions</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Unless otherwise defined herein, capitalized terms will have the meanings assigned to such terms in the Grant Notice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Plan.</w:t>
      </w:r>
    </w:p>
    <w:p>
      <w:pPr>
        <w:spacing w:after="0" w:line="172" w:lineRule="exact"/>
        <w:rPr>
          <w:sz w:val="20"/>
          <w:szCs w:val="20"/>
          <w:color w:val="auto"/>
        </w:rPr>
      </w:pPr>
    </w:p>
    <w:p>
      <w:pPr>
        <w:jc w:val="both"/>
        <w:ind w:right="20" w:firstLine="1119"/>
        <w:spacing w:after="0" w:line="257" w:lineRule="auto"/>
        <w:rPr>
          <w:sz w:val="20"/>
          <w:szCs w:val="20"/>
          <w:color w:val="auto"/>
        </w:rPr>
      </w:pPr>
      <w:r>
        <w:rPr>
          <w:rFonts w:ascii="Times New Roman" w:cs="Times New Roman" w:eastAsia="Times New Roman" w:hAnsi="Times New Roman"/>
          <w:sz w:val="16"/>
          <w:szCs w:val="16"/>
          <w:color w:val="auto"/>
        </w:rPr>
        <w:t xml:space="preserve">1.2 </w:t>
      </w:r>
      <w:r>
        <w:rPr>
          <w:rFonts w:ascii="Times New Roman" w:cs="Times New Roman" w:eastAsia="Times New Roman" w:hAnsi="Times New Roman"/>
          <w:sz w:val="16"/>
          <w:szCs w:val="16"/>
          <w:b w:val="1"/>
          <w:bCs w:val="1"/>
          <w:color w:val="auto"/>
        </w:rPr>
        <w:t>Construction</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Captions and titles contained herein are for convenience only and will not affect the meaning or interpretation of any provision of this Agreement. Except when otherwise indicated by the context, the singular will include the plural and the plural will include the singular. Use of the term “or” is not intended to be exclusive, unless the context clearly requires otherwise.</w:t>
      </w:r>
    </w:p>
    <w:p>
      <w:pPr>
        <w:spacing w:after="0" w:line="156" w:lineRule="exact"/>
        <w:rPr>
          <w:sz w:val="20"/>
          <w:szCs w:val="20"/>
          <w:color w:val="auto"/>
        </w:rPr>
      </w:pPr>
    </w:p>
    <w:p>
      <w:pPr>
        <w:ind w:left="740" w:hanging="184"/>
        <w:spacing w:after="0"/>
        <w:tabs>
          <w:tab w:leader="none" w:pos="74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Administration</w:t>
      </w:r>
      <w:r>
        <w:rPr>
          <w:rFonts w:ascii="Times New Roman" w:cs="Times New Roman" w:eastAsia="Times New Roman" w:hAnsi="Times New Roman"/>
          <w:sz w:val="16"/>
          <w:szCs w:val="16"/>
          <w:b w:val="1"/>
          <w:bCs w:val="1"/>
          <w:color w:val="auto"/>
        </w:rPr>
        <w:t>.</w:t>
      </w:r>
    </w:p>
    <w:p>
      <w:pPr>
        <w:spacing w:after="0" w:line="191" w:lineRule="exact"/>
        <w:rPr>
          <w:sz w:val="20"/>
          <w:szCs w:val="20"/>
          <w:color w:val="auto"/>
        </w:rPr>
      </w:pPr>
    </w:p>
    <w:p>
      <w:pPr>
        <w:jc w:val="both"/>
        <w:ind w:right="20" w:firstLine="1119"/>
        <w:spacing w:after="0" w:line="288" w:lineRule="auto"/>
        <w:rPr>
          <w:sz w:val="20"/>
          <w:szCs w:val="20"/>
          <w:color w:val="auto"/>
        </w:rPr>
      </w:pPr>
      <w:r>
        <w:rPr>
          <w:rFonts w:ascii="Times New Roman" w:cs="Times New Roman" w:eastAsia="Times New Roman" w:hAnsi="Times New Roman"/>
          <w:sz w:val="14"/>
          <w:szCs w:val="14"/>
          <w:color w:val="auto"/>
        </w:rPr>
        <w:t>All questions of interpretation concerning the Grant Notice, this Agreement, the Plan or any other form of agreement or other document employed by the Company in the administration of the Plan or the Award will be determined by the Committee. All such determinations by the Committee will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will be final, binding and conclusive upon all persons having an interest in the Award. Any Officer will have the authority to act on behalf of the Company with respect to any matter, right, obligation, or election which is the responsibility of or which is allocated to the Company herein, provided the Officer has apparent authority with respect to such matter, right, obligation, or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515620</wp:posOffset>
            </wp:positionV>
            <wp:extent cx="6306185" cy="222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06185" cy="22225"/>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52" w:name="page53"/>
    <w:bookmarkEnd w:id="52"/>
    <w:p>
      <w:pPr>
        <w:ind w:left="740" w:hanging="184"/>
        <w:spacing w:after="0"/>
        <w:tabs>
          <w:tab w:leader="none" w:pos="74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The Award</w:t>
      </w:r>
      <w:r>
        <w:rPr>
          <w:rFonts w:ascii="Times New Roman" w:cs="Times New Roman" w:eastAsia="Times New Roman" w:hAnsi="Times New Roman"/>
          <w:sz w:val="16"/>
          <w:szCs w:val="16"/>
          <w:b w:val="1"/>
          <w:bCs w:val="1"/>
          <w:color w:val="auto"/>
        </w:rPr>
        <w:t>.</w:t>
      </w:r>
    </w:p>
    <w:p>
      <w:pPr>
        <w:spacing w:after="0" w:line="189" w:lineRule="exact"/>
        <w:rPr>
          <w:sz w:val="20"/>
          <w:szCs w:val="20"/>
          <w:color w:val="auto"/>
        </w:rPr>
      </w:pPr>
    </w:p>
    <w:p>
      <w:pPr>
        <w:jc w:val="both"/>
        <w:ind w:firstLine="1119"/>
        <w:spacing w:after="0" w:line="300" w:lineRule="auto"/>
        <w:rPr>
          <w:sz w:val="20"/>
          <w:szCs w:val="20"/>
          <w:color w:val="auto"/>
        </w:rPr>
      </w:pPr>
      <w:r>
        <w:rPr>
          <w:rFonts w:ascii="Times New Roman" w:cs="Times New Roman" w:eastAsia="Times New Roman" w:hAnsi="Times New Roman"/>
          <w:sz w:val="14"/>
          <w:szCs w:val="14"/>
          <w:color w:val="auto"/>
        </w:rPr>
        <w:t xml:space="preserve">3.1 </w:t>
      </w:r>
      <w:r>
        <w:rPr>
          <w:rFonts w:ascii="Times New Roman" w:cs="Times New Roman" w:eastAsia="Times New Roman" w:hAnsi="Times New Roman"/>
          <w:sz w:val="14"/>
          <w:szCs w:val="14"/>
          <w:b w:val="1"/>
          <w:bCs w:val="1"/>
          <w:color w:val="auto"/>
        </w:rPr>
        <w:t>Grant of Units.</w:t>
      </w:r>
      <w:r>
        <w:rPr>
          <w:rFonts w:ascii="Times New Roman" w:cs="Times New Roman" w:eastAsia="Times New Roman" w:hAnsi="Times New Roman"/>
          <w:sz w:val="14"/>
          <w:szCs w:val="14"/>
          <w:color w:val="auto"/>
        </w:rPr>
        <w:t xml:space="preserve"> On the Date of Grant, the Company hereby awards to the Participant the Total Number of Units set forth in the Grant Notice, subject to adjustment as provided in Section 9. Each Unit represents, to the extent it is earned and becomes a Vested Unit, a right to receive on a date determined in accordance with the Grant Notice and this Agreement one (1) share of Stock. Unless and until a Unit becomes a Vested Unit, the Participant will have no right to settlement of such Unit. Prior to settlement of any Units, such Units will represent an unfunded and unsecured obligation of the Company.</w:t>
      </w:r>
    </w:p>
    <w:p>
      <w:pPr>
        <w:spacing w:after="0" w:line="129" w:lineRule="exact"/>
        <w:rPr>
          <w:sz w:val="20"/>
          <w:szCs w:val="20"/>
          <w:color w:val="auto"/>
        </w:rPr>
      </w:pPr>
    </w:p>
    <w:p>
      <w:pPr>
        <w:jc w:val="both"/>
        <w:ind w:firstLine="1119"/>
        <w:spacing w:after="0" w:line="250" w:lineRule="auto"/>
        <w:rPr>
          <w:sz w:val="20"/>
          <w:szCs w:val="20"/>
          <w:color w:val="auto"/>
        </w:rPr>
      </w:pPr>
      <w:r>
        <w:rPr>
          <w:rFonts w:ascii="Times New Roman" w:cs="Times New Roman" w:eastAsia="Times New Roman" w:hAnsi="Times New Roman"/>
          <w:sz w:val="16"/>
          <w:szCs w:val="16"/>
          <w:color w:val="auto"/>
        </w:rPr>
        <w:t xml:space="preserve">3.2 </w:t>
      </w:r>
      <w:r>
        <w:rPr>
          <w:rFonts w:ascii="Times New Roman" w:cs="Times New Roman" w:eastAsia="Times New Roman" w:hAnsi="Times New Roman"/>
          <w:sz w:val="16"/>
          <w:szCs w:val="16"/>
          <w:b w:val="1"/>
          <w:bCs w:val="1"/>
          <w:color w:val="auto"/>
        </w:rPr>
        <w:t>No Monetary Payment Required.</w:t>
      </w:r>
      <w:r>
        <w:rPr>
          <w:rFonts w:ascii="Times New Roman" w:cs="Times New Roman" w:eastAsia="Times New Roman" w:hAnsi="Times New Roman"/>
          <w:sz w:val="16"/>
          <w:szCs w:val="16"/>
          <w:color w:val="auto"/>
        </w:rPr>
        <w:t xml:space="preserve"> The Participant is not required to make any monetary payment (other than applicable tax withholding, if any) as a condition to receiving the Units or shares of Stock issued upon settlement of the Units, the consideration for which will be past services actually rendered or future services to be rendered to a Participating Company or for its benefit. Notwithstanding the foregoing, if required by applicable law, the Participant will furnish consideration in the form of cash or past services rendered to a Participating Company or for its benefit having a value not less than the par value of the shares of Stock issued upon settlement of the Units.</w:t>
      </w:r>
    </w:p>
    <w:p>
      <w:pPr>
        <w:spacing w:after="0" w:line="162" w:lineRule="exact"/>
        <w:rPr>
          <w:sz w:val="20"/>
          <w:szCs w:val="20"/>
          <w:color w:val="auto"/>
        </w:rPr>
      </w:pPr>
    </w:p>
    <w:p>
      <w:pPr>
        <w:ind w:left="740" w:hanging="184"/>
        <w:spacing w:after="0"/>
        <w:tabs>
          <w:tab w:leader="none" w:pos="74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Vesting of Units</w:t>
      </w:r>
      <w:r>
        <w:rPr>
          <w:rFonts w:ascii="Times New Roman" w:cs="Times New Roman" w:eastAsia="Times New Roman" w:hAnsi="Times New Roman"/>
          <w:sz w:val="16"/>
          <w:szCs w:val="16"/>
          <w:color w:val="auto"/>
        </w:rPr>
        <w:t>.</w:t>
      </w:r>
    </w:p>
    <w:p>
      <w:pPr>
        <w:spacing w:after="0" w:line="191" w:lineRule="exact"/>
        <w:rPr>
          <w:sz w:val="20"/>
          <w:szCs w:val="20"/>
          <w:color w:val="auto"/>
        </w:rPr>
      </w:pPr>
    </w:p>
    <w:p>
      <w:pPr>
        <w:jc w:val="both"/>
        <w:ind w:right="20" w:firstLine="1119"/>
        <w:spacing w:after="0" w:line="309" w:lineRule="auto"/>
        <w:rPr>
          <w:sz w:val="20"/>
          <w:szCs w:val="20"/>
          <w:color w:val="auto"/>
        </w:rPr>
      </w:pPr>
      <w:r>
        <w:rPr>
          <w:rFonts w:ascii="Times New Roman" w:cs="Times New Roman" w:eastAsia="Times New Roman" w:hAnsi="Times New Roman"/>
          <w:sz w:val="14"/>
          <w:szCs w:val="14"/>
          <w:color w:val="auto"/>
        </w:rPr>
        <w:t>Units acquired pursuant to this Agreement will become Vested Units as provided in the Grant Notice. For purposes of determining the number of Vested Units following an Ownership Change Event, credited Service will include all Service with any corporation which is a Participating Company at the time the Service is rendered, whether or not such corporation is a Participating Company both before and after the Ownership Change Event.</w:t>
      </w:r>
    </w:p>
    <w:p>
      <w:pPr>
        <w:spacing w:after="0" w:line="123" w:lineRule="exact"/>
        <w:rPr>
          <w:sz w:val="20"/>
          <w:szCs w:val="20"/>
          <w:color w:val="auto"/>
        </w:rPr>
      </w:pPr>
    </w:p>
    <w:p>
      <w:pPr>
        <w:ind w:left="740" w:hanging="184"/>
        <w:spacing w:after="0"/>
        <w:tabs>
          <w:tab w:leader="none" w:pos="74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Company Reacquisition Right</w:t>
      </w:r>
      <w:r>
        <w:rPr>
          <w:rFonts w:ascii="Times New Roman" w:cs="Times New Roman" w:eastAsia="Times New Roman" w:hAnsi="Times New Roman"/>
          <w:sz w:val="16"/>
          <w:szCs w:val="16"/>
          <w:b w:val="1"/>
          <w:bCs w:val="1"/>
          <w:color w:val="auto"/>
        </w:rPr>
        <w:t>.</w:t>
      </w:r>
    </w:p>
    <w:p>
      <w:pPr>
        <w:spacing w:after="0" w:line="189" w:lineRule="exact"/>
        <w:rPr>
          <w:sz w:val="20"/>
          <w:szCs w:val="20"/>
          <w:color w:val="auto"/>
        </w:rPr>
      </w:pPr>
    </w:p>
    <w:p>
      <w:pPr>
        <w:jc w:val="both"/>
        <w:ind w:right="20" w:firstLine="1119"/>
        <w:spacing w:after="0" w:line="252" w:lineRule="auto"/>
        <w:rPr>
          <w:sz w:val="20"/>
          <w:szCs w:val="20"/>
          <w:color w:val="auto"/>
        </w:rPr>
      </w:pPr>
      <w:r>
        <w:rPr>
          <w:rFonts w:ascii="Times New Roman" w:cs="Times New Roman" w:eastAsia="Times New Roman" w:hAnsi="Times New Roman"/>
          <w:sz w:val="16"/>
          <w:szCs w:val="16"/>
          <w:color w:val="auto"/>
        </w:rPr>
        <w:t xml:space="preserve">5.1 </w:t>
      </w:r>
      <w:r>
        <w:rPr>
          <w:rFonts w:ascii="Times New Roman" w:cs="Times New Roman" w:eastAsia="Times New Roman" w:hAnsi="Times New Roman"/>
          <w:sz w:val="16"/>
          <w:szCs w:val="16"/>
          <w:b w:val="1"/>
          <w:bCs w:val="1"/>
          <w:color w:val="auto"/>
        </w:rPr>
        <w:t>Grant of Company Reacquisition Right.</w:t>
      </w:r>
      <w:r>
        <w:rPr>
          <w:rFonts w:ascii="Times New Roman" w:cs="Times New Roman" w:eastAsia="Times New Roman" w:hAnsi="Times New Roman"/>
          <w:sz w:val="16"/>
          <w:szCs w:val="16"/>
          <w:color w:val="auto"/>
        </w:rPr>
        <w:t xml:space="preserve"> Except to the extent otherwise provided by the Superseding Agreement, if any, in the event that the Participant’s Service terminates for any reason or no reason, with or without cause, the Participant will forfeit and the Company will automatically reacquire all Units which are not, as of the time of such termination, Vested Units (</w:t>
      </w:r>
      <w:r>
        <w:rPr>
          <w:rFonts w:ascii="Times New Roman" w:cs="Times New Roman" w:eastAsia="Times New Roman" w:hAnsi="Times New Roman"/>
          <w:sz w:val="16"/>
          <w:szCs w:val="16"/>
          <w:b w:val="1"/>
          <w:bCs w:val="1"/>
          <w:i w:val="1"/>
          <w:iCs w:val="1"/>
          <w:color w:val="auto"/>
        </w:rPr>
        <w:t>“Unvested Units”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and the Participant will not be entitled to any payment therefor (the </w:t>
      </w:r>
      <w:r>
        <w:rPr>
          <w:rFonts w:ascii="Times New Roman" w:cs="Times New Roman" w:eastAsia="Times New Roman" w:hAnsi="Times New Roman"/>
          <w:sz w:val="16"/>
          <w:szCs w:val="16"/>
          <w:b w:val="1"/>
          <w:bCs w:val="1"/>
          <w:i w:val="1"/>
          <w:iCs w:val="1"/>
          <w:color w:val="auto"/>
        </w:rPr>
        <w:t>“Company Reacquisition Right”</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jc w:val="both"/>
        <w:ind w:firstLine="1119"/>
        <w:spacing w:after="0" w:line="248" w:lineRule="auto"/>
        <w:rPr>
          <w:sz w:val="20"/>
          <w:szCs w:val="20"/>
          <w:color w:val="auto"/>
        </w:rPr>
      </w:pPr>
      <w:r>
        <w:rPr>
          <w:rFonts w:ascii="Times New Roman" w:cs="Times New Roman" w:eastAsia="Times New Roman" w:hAnsi="Times New Roman"/>
          <w:sz w:val="16"/>
          <w:szCs w:val="16"/>
          <w:color w:val="auto"/>
        </w:rPr>
        <w:t xml:space="preserve">5.2 </w:t>
      </w:r>
      <w:r>
        <w:rPr>
          <w:rFonts w:ascii="Times New Roman" w:cs="Times New Roman" w:eastAsia="Times New Roman" w:hAnsi="Times New Roman"/>
          <w:sz w:val="16"/>
          <w:szCs w:val="16"/>
          <w:b w:val="1"/>
          <w:bCs w:val="1"/>
          <w:color w:val="auto"/>
        </w:rPr>
        <w:t>Ownership Change Event, Non-Cash Dividends, Distributions and Adjustments</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Upon the occurrence of an Ownership Change Event, a dividend or distribution to the stockholders of the Company paid in shares of Stock or other property, or any other adjustment upon a change in the capital structure of the Company as described in Section 9, any and all new, substituted or additional securities or other property (other than regular, periodic cash dividends paid on Stock pursuant to the Company’s dividend policy) to which the Participant is entitled by reason of the Participant’s ownership of Unvested Units will be immediately subject to the Company Reacquisition Right and included in the terms “Units” and “Unvested Units” for all purposes of the Company Reacquisition Right with the same force and effect as the Unvested Units immediately prior to the Ownership Change Event, dividend, distribution or adjustment, as the case may be. For purposes of determining the number of Vested Units following an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530225</wp:posOffset>
            </wp:positionV>
            <wp:extent cx="6306185" cy="222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06185" cy="22225"/>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53" w:name="page54"/>
    <w:bookmarkEnd w:id="53"/>
    <w:p>
      <w:pPr>
        <w:ind w:right="20"/>
        <w:spacing w:after="0" w:line="267" w:lineRule="auto"/>
        <w:rPr>
          <w:sz w:val="20"/>
          <w:szCs w:val="20"/>
          <w:color w:val="auto"/>
        </w:rPr>
      </w:pPr>
      <w:r>
        <w:rPr>
          <w:rFonts w:ascii="Times New Roman" w:cs="Times New Roman" w:eastAsia="Times New Roman" w:hAnsi="Times New Roman"/>
          <w:sz w:val="16"/>
          <w:szCs w:val="16"/>
          <w:color w:val="auto"/>
        </w:rPr>
        <w:t>Change Event, dividend, distribution or adjustment, credited Service will include all Service with any corporation which is a Participating Company at the time the Service is rendered, whether or not such corporation is a Participating Company both before and after any such event.</w:t>
      </w:r>
    </w:p>
    <w:p>
      <w:pPr>
        <w:spacing w:after="0" w:line="149" w:lineRule="exact"/>
        <w:rPr>
          <w:sz w:val="20"/>
          <w:szCs w:val="20"/>
          <w:color w:val="auto"/>
        </w:rPr>
      </w:pPr>
    </w:p>
    <w:p>
      <w:pPr>
        <w:ind w:left="740" w:hanging="184"/>
        <w:spacing w:after="0"/>
        <w:tabs>
          <w:tab w:leader="none" w:pos="74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Settlement of the Award</w:t>
      </w:r>
      <w:r>
        <w:rPr>
          <w:rFonts w:ascii="Times New Roman" w:cs="Times New Roman" w:eastAsia="Times New Roman" w:hAnsi="Times New Roman"/>
          <w:sz w:val="16"/>
          <w:szCs w:val="16"/>
          <w:b w:val="1"/>
          <w:bCs w:val="1"/>
          <w:color w:val="auto"/>
        </w:rPr>
        <w:t>.</w:t>
      </w:r>
    </w:p>
    <w:p>
      <w:pPr>
        <w:spacing w:after="0" w:line="189" w:lineRule="exact"/>
        <w:rPr>
          <w:sz w:val="20"/>
          <w:szCs w:val="20"/>
          <w:color w:val="auto"/>
        </w:rPr>
      </w:pPr>
    </w:p>
    <w:p>
      <w:pPr>
        <w:jc w:val="both"/>
        <w:ind w:firstLine="1119"/>
        <w:spacing w:after="0" w:line="246" w:lineRule="auto"/>
        <w:rPr>
          <w:sz w:val="20"/>
          <w:szCs w:val="20"/>
          <w:color w:val="auto"/>
        </w:rPr>
      </w:pPr>
      <w:r>
        <w:rPr>
          <w:rFonts w:ascii="Times New Roman" w:cs="Times New Roman" w:eastAsia="Times New Roman" w:hAnsi="Times New Roman"/>
          <w:sz w:val="16"/>
          <w:szCs w:val="16"/>
          <w:color w:val="auto"/>
        </w:rPr>
        <w:t xml:space="preserve">6.1 </w:t>
      </w:r>
      <w:r>
        <w:rPr>
          <w:rFonts w:ascii="Times New Roman" w:cs="Times New Roman" w:eastAsia="Times New Roman" w:hAnsi="Times New Roman"/>
          <w:sz w:val="16"/>
          <w:szCs w:val="16"/>
          <w:b w:val="1"/>
          <w:bCs w:val="1"/>
          <w:color w:val="auto"/>
        </w:rPr>
        <w:t>Issuance of Shares of Stock</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Subject to the provisions of Section 6.3, the Company will issue to the Participant on the Settlement Date with respect to each Vested Unit to be settled on such date one (1) share of Stock. The Settlement Date with respect to a Unit will be the date on which such Unit becomes a Vested Unit as provided by the Grant Notice (an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Original Settlement Date</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provided, however, that if the Original Settlement Date would occur on a date on which a sale by the Participant of the shares to be issued in settlement of the Vested Units would violate the Trading Compliance Policy of the Company and if the Company has allowed the Participant to satisfy its tax obligations pursuant to Section 7.2 of this Agreement, the Settlement Date for such Vested Units will be deferred until the next day on which the sale of such shares would not violate the Trading Compliance Policy, but in any event on or before the 15th day of the third calendar month following the calendar year of the Original Settlement Date. Shares of Stock issued in settlement of Units will not be subject to any restriction on transfer other than any such restriction as may be required pursuant to Section 6.3, Section 7 or the Company’s Trading Compliance Policy.</w:t>
      </w:r>
    </w:p>
    <w:p>
      <w:pPr>
        <w:spacing w:after="0" w:line="170" w:lineRule="exact"/>
        <w:rPr>
          <w:sz w:val="20"/>
          <w:szCs w:val="20"/>
          <w:color w:val="auto"/>
        </w:rPr>
      </w:pPr>
    </w:p>
    <w:p>
      <w:pPr>
        <w:jc w:val="both"/>
        <w:ind w:firstLine="1119"/>
        <w:spacing w:after="0" w:line="250" w:lineRule="auto"/>
        <w:rPr>
          <w:sz w:val="20"/>
          <w:szCs w:val="20"/>
          <w:color w:val="auto"/>
        </w:rPr>
      </w:pPr>
      <w:r>
        <w:rPr>
          <w:rFonts w:ascii="Times New Roman" w:cs="Times New Roman" w:eastAsia="Times New Roman" w:hAnsi="Times New Roman"/>
          <w:sz w:val="16"/>
          <w:szCs w:val="16"/>
          <w:color w:val="auto"/>
        </w:rPr>
        <w:t xml:space="preserve">6.2 </w:t>
      </w:r>
      <w:r>
        <w:rPr>
          <w:rFonts w:ascii="Times New Roman" w:cs="Times New Roman" w:eastAsia="Times New Roman" w:hAnsi="Times New Roman"/>
          <w:sz w:val="16"/>
          <w:szCs w:val="16"/>
          <w:b w:val="1"/>
          <w:bCs w:val="1"/>
          <w:color w:val="auto"/>
        </w:rPr>
        <w:t>Beneficial Ownership of Shares; Certificate Registration</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will be registered in the name of the Participant, or, if applicable, in the names of the heirs of the Participant.</w:t>
      </w:r>
    </w:p>
    <w:p>
      <w:pPr>
        <w:spacing w:after="0" w:line="162" w:lineRule="exact"/>
        <w:rPr>
          <w:sz w:val="20"/>
          <w:szCs w:val="20"/>
          <w:color w:val="auto"/>
        </w:rPr>
      </w:pPr>
    </w:p>
    <w:p>
      <w:pPr>
        <w:jc w:val="both"/>
        <w:ind w:firstLine="1119"/>
        <w:spacing w:after="0" w:line="246" w:lineRule="auto"/>
        <w:rPr>
          <w:sz w:val="20"/>
          <w:szCs w:val="20"/>
          <w:color w:val="auto"/>
        </w:rPr>
      </w:pPr>
      <w:r>
        <w:rPr>
          <w:rFonts w:ascii="Times New Roman" w:cs="Times New Roman" w:eastAsia="Times New Roman" w:hAnsi="Times New Roman"/>
          <w:sz w:val="16"/>
          <w:szCs w:val="16"/>
          <w:color w:val="auto"/>
        </w:rPr>
        <w:t xml:space="preserve">6.3 </w:t>
      </w:r>
      <w:r>
        <w:rPr>
          <w:rFonts w:ascii="Times New Roman" w:cs="Times New Roman" w:eastAsia="Times New Roman" w:hAnsi="Times New Roman"/>
          <w:sz w:val="16"/>
          <w:szCs w:val="16"/>
          <w:b w:val="1"/>
          <w:bCs w:val="1"/>
          <w:color w:val="auto"/>
        </w:rPr>
        <w:t>Restrictions on Grant of the Award and Issuance of Shares</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The grant of the Award and issuance of shares of Stock upon settlement of the Award will be subject to compliance with all applicable requirements of federal, state or foreign law with respect to such securities. No shares of Stock may be issued hereunder if the issuance of such shares would constitute a violation of any applicable federal, state or foreign securities laws 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of any shares subject to the Award will relieve the Company of any liability in respect of the failure to issue such shares as to which such requisite authority will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70" w:lineRule="exact"/>
        <w:rPr>
          <w:sz w:val="20"/>
          <w:szCs w:val="20"/>
          <w:color w:val="auto"/>
        </w:rPr>
      </w:pPr>
    </w:p>
    <w:p>
      <w:pPr>
        <w:ind w:left="1120"/>
        <w:spacing w:after="0"/>
        <w:tabs>
          <w:tab w:leader="none" w:pos="1520" w:val="left"/>
        </w:tabs>
        <w:rPr>
          <w:sz w:val="20"/>
          <w:szCs w:val="20"/>
          <w:color w:val="auto"/>
        </w:rPr>
      </w:pPr>
      <w:r>
        <w:rPr>
          <w:rFonts w:ascii="Times New Roman" w:cs="Times New Roman" w:eastAsia="Times New Roman" w:hAnsi="Times New Roman"/>
          <w:sz w:val="16"/>
          <w:szCs w:val="16"/>
          <w:color w:val="auto"/>
        </w:rPr>
        <w:t>6.4</w:t>
      </w:r>
      <w:r>
        <w:rPr>
          <w:sz w:val="20"/>
          <w:szCs w:val="20"/>
          <w:color w:val="auto"/>
        </w:rPr>
        <w:tab/>
      </w:r>
      <w:r>
        <w:rPr>
          <w:rFonts w:ascii="Times New Roman" w:cs="Times New Roman" w:eastAsia="Times New Roman" w:hAnsi="Times New Roman"/>
          <w:sz w:val="14"/>
          <w:szCs w:val="14"/>
          <w:b w:val="1"/>
          <w:bCs w:val="1"/>
          <w:color w:val="auto"/>
        </w:rPr>
        <w:t>Fractional Shares</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Company will not be required to issue fractional shares upon the settlement of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547370</wp:posOffset>
            </wp:positionV>
            <wp:extent cx="6306185" cy="222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06185" cy="22225"/>
                    </a:xfrm>
                    <a:prstGeom prst="rect">
                      <a:avLst/>
                    </a:prstGeom>
                    <a:noFill/>
                  </pic:spPr>
                </pic:pic>
              </a:graphicData>
            </a:graphic>
          </wp:anchor>
        </w:drawing>
      </w:r>
    </w:p>
    <w:p>
      <w:pPr>
        <w:sectPr>
          <w:pgSz w:w="11900" w:h="16838" w:orient="portrait"/>
          <w:cols w:equalWidth="0" w:num="1">
            <w:col w:w="9940"/>
          </w:cols>
          <w:pgMar w:left="980" w:top="123" w:right="979" w:bottom="1440" w:gutter="0" w:footer="0" w:header="0"/>
        </w:sectPr>
      </w:pPr>
    </w:p>
    <w:bookmarkStart w:id="54" w:name="page55"/>
    <w:bookmarkEnd w:id="54"/>
    <w:p>
      <w:pPr>
        <w:ind w:left="740" w:hanging="184"/>
        <w:spacing w:after="0"/>
        <w:tabs>
          <w:tab w:leader="none" w:pos="7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Tax Withholding</w:t>
      </w:r>
      <w:r>
        <w:rPr>
          <w:rFonts w:ascii="Times New Roman" w:cs="Times New Roman" w:eastAsia="Times New Roman" w:hAnsi="Times New Roman"/>
          <w:sz w:val="16"/>
          <w:szCs w:val="16"/>
          <w:b w:val="1"/>
          <w:bCs w:val="1"/>
          <w:color w:val="auto"/>
        </w:rPr>
        <w:t>.</w:t>
      </w:r>
    </w:p>
    <w:p>
      <w:pPr>
        <w:spacing w:after="0" w:line="189" w:lineRule="exact"/>
        <w:rPr>
          <w:sz w:val="20"/>
          <w:szCs w:val="20"/>
          <w:color w:val="auto"/>
        </w:rPr>
      </w:pPr>
    </w:p>
    <w:p>
      <w:pPr>
        <w:jc w:val="both"/>
        <w:ind w:firstLine="1119"/>
        <w:spacing w:after="0" w:line="250" w:lineRule="auto"/>
        <w:rPr>
          <w:sz w:val="20"/>
          <w:szCs w:val="20"/>
          <w:color w:val="auto"/>
        </w:rPr>
      </w:pPr>
      <w:r>
        <w:rPr>
          <w:rFonts w:ascii="Times New Roman" w:cs="Times New Roman" w:eastAsia="Times New Roman" w:hAnsi="Times New Roman"/>
          <w:sz w:val="16"/>
          <w:szCs w:val="16"/>
          <w:color w:val="auto"/>
        </w:rPr>
        <w:t xml:space="preserve">7.1 </w:t>
      </w:r>
      <w:r>
        <w:rPr>
          <w:rFonts w:ascii="Times New Roman" w:cs="Times New Roman" w:eastAsia="Times New Roman" w:hAnsi="Times New Roman"/>
          <w:sz w:val="16"/>
          <w:szCs w:val="16"/>
          <w:b w:val="1"/>
          <w:bCs w:val="1"/>
          <w:color w:val="auto"/>
        </w:rPr>
        <w:t>In General.</w:t>
      </w:r>
      <w:r>
        <w:rPr>
          <w:rFonts w:ascii="Times New Roman" w:cs="Times New Roman" w:eastAsia="Times New Roman" w:hAnsi="Times New Roman"/>
          <w:sz w:val="16"/>
          <w:szCs w:val="16"/>
          <w:color w:val="auto"/>
        </w:rPr>
        <w:t xml:space="preserve"> At the time the Grant Notice is executed, or at any time thereafter as requested by a Participating Company, the Participant hereby authorizes withholding from payroll and any other amounts payable to the Participant, and otherwise agrees to make adequate provision for, any sums required to satisfy the federal, state, local and foreign tax (including any social insurance) withholding obligations of the Participating Company, if any, which arise in connection with the Award, the vesting of Units or the issuance of shares of Stock in settlement thereof. The Company will have no obligation to deliver shares of Stock until the tax withholding obligations of the Participating Company have been satisfied by the Participant.</w:t>
      </w:r>
    </w:p>
    <w:p>
      <w:pPr>
        <w:spacing w:after="0" w:line="162" w:lineRule="exact"/>
        <w:rPr>
          <w:sz w:val="20"/>
          <w:szCs w:val="20"/>
          <w:color w:val="auto"/>
        </w:rPr>
      </w:pPr>
    </w:p>
    <w:p>
      <w:pPr>
        <w:jc w:val="both"/>
        <w:ind w:right="20" w:firstLine="1119"/>
        <w:spacing w:after="0" w:line="250" w:lineRule="auto"/>
        <w:rPr>
          <w:sz w:val="20"/>
          <w:szCs w:val="20"/>
          <w:color w:val="auto"/>
        </w:rPr>
      </w:pPr>
      <w:r>
        <w:rPr>
          <w:rFonts w:ascii="Times New Roman" w:cs="Times New Roman" w:eastAsia="Times New Roman" w:hAnsi="Times New Roman"/>
          <w:sz w:val="16"/>
          <w:szCs w:val="16"/>
          <w:color w:val="auto"/>
        </w:rPr>
        <w:t xml:space="preserve">7.2 </w:t>
      </w:r>
      <w:r>
        <w:rPr>
          <w:rFonts w:ascii="Times New Roman" w:cs="Times New Roman" w:eastAsia="Times New Roman" w:hAnsi="Times New Roman"/>
          <w:sz w:val="16"/>
          <w:szCs w:val="16"/>
          <w:b w:val="1"/>
          <w:bCs w:val="1"/>
          <w:color w:val="auto"/>
        </w:rPr>
        <w:t>Assignment of Sale Proceeds.</w:t>
      </w:r>
      <w:r>
        <w:rPr>
          <w:rFonts w:ascii="Times New Roman" w:cs="Times New Roman" w:eastAsia="Times New Roman" w:hAnsi="Times New Roman"/>
          <w:sz w:val="16"/>
          <w:szCs w:val="16"/>
          <w:color w:val="auto"/>
        </w:rPr>
        <w:t xml:space="preserve"> Subject to compliance with applicable law and the Company’s Trading Compliance Policy, if permitted by the Company, the Participant may satisfy the Participating Company’s tax withholding obligations in accordance with procedures established by the Company providing for delivery by the Participant to the Company or a broker approved by the Company of properly executed instructions, in a form approved by the Company, providing for the assignment to the Company of the proceeds of a sale with respect to some or all of the shares being acquired upon settlement of Units.</w:t>
      </w:r>
    </w:p>
    <w:p>
      <w:pPr>
        <w:spacing w:after="0" w:line="162" w:lineRule="exact"/>
        <w:rPr>
          <w:sz w:val="20"/>
          <w:szCs w:val="20"/>
          <w:color w:val="auto"/>
        </w:rPr>
      </w:pPr>
    </w:p>
    <w:p>
      <w:pPr>
        <w:jc w:val="both"/>
        <w:ind w:firstLine="1119"/>
        <w:spacing w:after="0" w:line="252" w:lineRule="auto"/>
        <w:rPr>
          <w:sz w:val="20"/>
          <w:szCs w:val="20"/>
          <w:color w:val="auto"/>
        </w:rPr>
      </w:pPr>
      <w:r>
        <w:rPr>
          <w:rFonts w:ascii="Times New Roman" w:cs="Times New Roman" w:eastAsia="Times New Roman" w:hAnsi="Times New Roman"/>
          <w:sz w:val="16"/>
          <w:szCs w:val="16"/>
          <w:color w:val="auto"/>
        </w:rPr>
        <w:t xml:space="preserve">7.3 </w:t>
      </w:r>
      <w:r>
        <w:rPr>
          <w:rFonts w:ascii="Times New Roman" w:cs="Times New Roman" w:eastAsia="Times New Roman" w:hAnsi="Times New Roman"/>
          <w:sz w:val="16"/>
          <w:szCs w:val="16"/>
          <w:b w:val="1"/>
          <w:bCs w:val="1"/>
          <w:color w:val="auto"/>
        </w:rPr>
        <w:t>Withholding in Shares.</w:t>
      </w:r>
      <w:r>
        <w:rPr>
          <w:rFonts w:ascii="Times New Roman" w:cs="Times New Roman" w:eastAsia="Times New Roman" w:hAnsi="Times New Roman"/>
          <w:sz w:val="16"/>
          <w:szCs w:val="16"/>
          <w:color w:val="auto"/>
        </w:rPr>
        <w:t xml:space="preserve"> The Company will have the right, but not the obligation, to require the Participant to satisfy all or any portion of a Participating Company’s tax withholding obligations by deducting from the shares of Stock otherwise deliverable to the Participant in settlement of the Award a number of whole shares having a fair market value, as determined by the Company as of the date on which the tax withholding obligations arise, not in excess of the amount of such tax withholding obligations determined by the applicable statutory withholding rates.</w:t>
      </w:r>
    </w:p>
    <w:p>
      <w:pPr>
        <w:spacing w:after="0" w:line="161" w:lineRule="exact"/>
        <w:rPr>
          <w:sz w:val="20"/>
          <w:szCs w:val="20"/>
          <w:color w:val="auto"/>
        </w:rPr>
      </w:pPr>
    </w:p>
    <w:p>
      <w:pPr>
        <w:ind w:left="740" w:hanging="184"/>
        <w:spacing w:after="0"/>
        <w:tabs>
          <w:tab w:leader="none" w:pos="74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Effect of Change in Control</w:t>
      </w:r>
      <w:r>
        <w:rPr>
          <w:rFonts w:ascii="Times New Roman" w:cs="Times New Roman" w:eastAsia="Times New Roman" w:hAnsi="Times New Roman"/>
          <w:sz w:val="16"/>
          <w:szCs w:val="16"/>
          <w:b w:val="1"/>
          <w:bCs w:val="1"/>
          <w:i w:val="1"/>
          <w:iCs w:val="1"/>
          <w:color w:val="auto"/>
        </w:rPr>
        <w:t>.</w:t>
      </w:r>
    </w:p>
    <w:p>
      <w:pPr>
        <w:spacing w:after="0" w:line="191" w:lineRule="exact"/>
        <w:rPr>
          <w:sz w:val="20"/>
          <w:szCs w:val="20"/>
          <w:color w:val="auto"/>
        </w:rPr>
      </w:pPr>
    </w:p>
    <w:p>
      <w:pPr>
        <w:jc w:val="both"/>
        <w:ind w:firstLine="1119"/>
        <w:spacing w:after="0" w:line="245" w:lineRule="auto"/>
        <w:rPr>
          <w:sz w:val="20"/>
          <w:szCs w:val="20"/>
          <w:color w:val="auto"/>
        </w:rPr>
      </w:pPr>
      <w:r>
        <w:rPr>
          <w:rFonts w:ascii="Times New Roman" w:cs="Times New Roman" w:eastAsia="Times New Roman" w:hAnsi="Times New Roman"/>
          <w:sz w:val="16"/>
          <w:szCs w:val="16"/>
          <w:color w:val="auto"/>
        </w:rPr>
        <w:t>In the event of a Change in Control, the Award shall be subject to the definitive agreement entered into by the Company in connection with the Change in Control. Except to the extent that the Committee determines to cash out the Units in accordance with the terms of the Plan, the surviving, continuing, successor, or purchasing entity or parent thereof, as the case may be (the “</w:t>
      </w:r>
      <w:r>
        <w:rPr>
          <w:rFonts w:ascii="Times New Roman" w:cs="Times New Roman" w:eastAsia="Times New Roman" w:hAnsi="Times New Roman"/>
          <w:sz w:val="16"/>
          <w:szCs w:val="16"/>
          <w:b w:val="1"/>
          <w:bCs w:val="1"/>
          <w:i w:val="1"/>
          <w:iCs w:val="1"/>
          <w:color w:val="auto"/>
        </w:rPr>
        <w:t>Acquiror</w:t>
      </w:r>
      <w:r>
        <w:rPr>
          <w:rFonts w:ascii="Times New Roman" w:cs="Times New Roman" w:eastAsia="Times New Roman" w:hAnsi="Times New Roman"/>
          <w:sz w:val="16"/>
          <w:szCs w:val="16"/>
          <w:color w:val="auto"/>
        </w:rPr>
        <w:t>”), may, without the consent of the Participant, assume or continue in full force and effect the Company’s rights and obligations under all or any portion of the outstanding Units or substitute for all or any portion of the outstanding Units substantially equivalent rights with respect to the Acquiror’s stock. For purposes of this Section, a Unit will be deemed assumed if, following the Change in Control, the Unit confers the right to receive, subject to the terms and conditions of the Plan and this Agreement, the consideration (whether stock, cash, other securities or property or a combination thereof) to which a holder of a share of Stock on the effective date of the Change in Control was entitled (and if holders were offered a choice of consideration, the type of consideration chosen by the holders of a majority of the outstanding shares of Stock); provided, however, that if such consideration is not solely common stock of the Acquiror, the Committee may, with the consent of the Acquiror, provide for the consideration to be received upon settlement of the Unit to consist solely of common stock of the Acquiror equal in Fair Market Value to the per share consideration received by holders of Stock pursuant to the Change in Control. The Award will terminate and cease to be outstanding effective as of the time of consummation or the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535940</wp:posOffset>
            </wp:positionV>
            <wp:extent cx="6306185" cy="222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06185" cy="22225"/>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55" w:name="page56"/>
    <w:bookmarkEnd w:id="55"/>
    <w:p>
      <w:pPr>
        <w:spacing w:after="0" w:line="267" w:lineRule="auto"/>
        <w:rPr>
          <w:sz w:val="20"/>
          <w:szCs w:val="20"/>
          <w:color w:val="auto"/>
        </w:rPr>
      </w:pPr>
      <w:r>
        <w:rPr>
          <w:rFonts w:ascii="Times New Roman" w:cs="Times New Roman" w:eastAsia="Times New Roman" w:hAnsi="Times New Roman"/>
          <w:sz w:val="16"/>
          <w:szCs w:val="16"/>
          <w:color w:val="auto"/>
        </w:rPr>
        <w:t>in Control to the extent that Units subject to the Award are neither assumed or continued by the Acquiror in connection with the Change in Control nor settled as of the time of the Change in Control.</w:t>
      </w:r>
    </w:p>
    <w:p>
      <w:pPr>
        <w:spacing w:after="0" w:line="149" w:lineRule="exact"/>
        <w:rPr>
          <w:sz w:val="20"/>
          <w:szCs w:val="20"/>
          <w:color w:val="auto"/>
        </w:rPr>
      </w:pPr>
    </w:p>
    <w:p>
      <w:pPr>
        <w:ind w:left="740" w:hanging="184"/>
        <w:spacing w:after="0"/>
        <w:tabs>
          <w:tab w:leader="none" w:pos="74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Adjustments for Changes in Capital Structure</w:t>
      </w:r>
      <w:r>
        <w:rPr>
          <w:rFonts w:ascii="Times New Roman" w:cs="Times New Roman" w:eastAsia="Times New Roman" w:hAnsi="Times New Roman"/>
          <w:sz w:val="16"/>
          <w:szCs w:val="16"/>
          <w:b w:val="1"/>
          <w:bCs w:val="1"/>
          <w:color w:val="auto"/>
        </w:rPr>
        <w:t>.</w:t>
      </w:r>
    </w:p>
    <w:p>
      <w:pPr>
        <w:spacing w:after="0" w:line="191" w:lineRule="exact"/>
        <w:rPr>
          <w:sz w:val="20"/>
          <w:szCs w:val="20"/>
          <w:color w:val="auto"/>
        </w:rPr>
      </w:pPr>
    </w:p>
    <w:p>
      <w:pPr>
        <w:jc w:val="both"/>
        <w:ind w:firstLine="1119"/>
        <w:spacing w:after="0" w:line="245" w:lineRule="auto"/>
        <w:rPr>
          <w:sz w:val="20"/>
          <w:szCs w:val="20"/>
          <w:color w:val="auto"/>
        </w:rPr>
      </w:pPr>
      <w:r>
        <w:rPr>
          <w:rFonts w:ascii="Times New Roman" w:cs="Times New Roman" w:eastAsia="Times New Roman" w:hAnsi="Times New Roman"/>
          <w:sz w:val="16"/>
          <w:szCs w:val="16"/>
          <w:color w:val="auto"/>
        </w:rPr>
        <w:t>Subject to any required action by the stockholders of the Company and the requirements of Section 409A of the Code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(other than regular, periodic cash dividends paid on Stock pursuant to the Company’s dividend policy) that has a material effect on the Fair Market Value of shares of Stock, appropriate and proportionate adjustments will be made in the number of Units subject to the Award and/or the number and kind of shares or other property to be issued in settlement of the Award, in order to prevent dilution or enlargement of the Participant’s rights under the Award. For purposes of the foregoing, conversion of any convertible securities of the Company will not be treated as “effected without receipt of consideration by the Company.” Any and all new, substituted or additional securities or other property (other than regular, periodic cash dividends paid on Stock pursuant to the Company’s dividend policy) to which the Participant is entitled by reason of ownership of Units acquired pursuant to this Award will be immediately subject to the provisions of this Agreement on the same basis as all Units originally acquired hereunder. Any fractional Unit or share resulting from an adjustment pursuant to this Section will be rounded down to the nearest whole number. Such adjustments will be determined by the Committee, and its determination will be final, binding and conclusive.</w:t>
      </w:r>
    </w:p>
    <w:p>
      <w:pPr>
        <w:spacing w:after="0" w:line="170" w:lineRule="exact"/>
        <w:rPr>
          <w:sz w:val="20"/>
          <w:szCs w:val="20"/>
          <w:color w:val="auto"/>
        </w:rPr>
      </w:pPr>
    </w:p>
    <w:p>
      <w:pPr>
        <w:ind w:left="840" w:hanging="284"/>
        <w:spacing w:after="0"/>
        <w:tabs>
          <w:tab w:leader="none" w:pos="84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Rights as a Stockholder, Director, Employee or Consultant</w:t>
      </w:r>
      <w:r>
        <w:rPr>
          <w:rFonts w:ascii="Times New Roman" w:cs="Times New Roman" w:eastAsia="Times New Roman" w:hAnsi="Times New Roman"/>
          <w:sz w:val="16"/>
          <w:szCs w:val="16"/>
          <w:b w:val="1"/>
          <w:bCs w:val="1"/>
          <w:color w:val="auto"/>
        </w:rPr>
        <w:t>.</w:t>
      </w:r>
    </w:p>
    <w:p>
      <w:pPr>
        <w:spacing w:after="0" w:line="191" w:lineRule="exact"/>
        <w:rPr>
          <w:sz w:val="20"/>
          <w:szCs w:val="20"/>
          <w:color w:val="auto"/>
        </w:rPr>
      </w:pPr>
    </w:p>
    <w:p>
      <w:pPr>
        <w:jc w:val="both"/>
        <w:ind w:firstLine="1119"/>
        <w:spacing w:after="0" w:line="247" w:lineRule="auto"/>
        <w:rPr>
          <w:sz w:val="20"/>
          <w:szCs w:val="20"/>
          <w:color w:val="auto"/>
        </w:rPr>
      </w:pPr>
      <w:r>
        <w:rPr>
          <w:rFonts w:ascii="Times New Roman" w:cs="Times New Roman" w:eastAsia="Times New Roman" w:hAnsi="Times New Roman"/>
          <w:sz w:val="16"/>
          <w:szCs w:val="16"/>
          <w:color w:val="auto"/>
        </w:rPr>
        <w:t>The Participant will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will be made for dividends, distributions or other rights for which the record date is prior to the date the shares are issued, except as provided in Section 9. If the Participant is an Employee, the Participant understands and acknowledges that, except as otherwise provided in a separate, written employment agreement between a Participating Company and the Participant, the Participant’s employment is “at will” and is for no specified term. Nothing in this Agreement will confer upon the Participant any right to continue in the Service of a Participating Company or interfere in any way with any right of the Participating Company Group to terminate the Participant’s Service at any time.</w:t>
      </w:r>
    </w:p>
    <w:p>
      <w:pPr>
        <w:spacing w:after="0" w:line="166" w:lineRule="exact"/>
        <w:rPr>
          <w:sz w:val="20"/>
          <w:szCs w:val="20"/>
          <w:color w:val="auto"/>
        </w:rPr>
      </w:pPr>
    </w:p>
    <w:p>
      <w:pPr>
        <w:ind w:left="840" w:hanging="284"/>
        <w:spacing w:after="0"/>
        <w:tabs>
          <w:tab w:leader="none" w:pos="84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Legends</w:t>
      </w:r>
      <w:r>
        <w:rPr>
          <w:rFonts w:ascii="Times New Roman" w:cs="Times New Roman" w:eastAsia="Times New Roman" w:hAnsi="Times New Roman"/>
          <w:sz w:val="16"/>
          <w:szCs w:val="16"/>
          <w:b w:val="1"/>
          <w:bCs w:val="1"/>
          <w:color w:val="auto"/>
        </w:rPr>
        <w:t>.</w:t>
      </w:r>
    </w:p>
    <w:p>
      <w:pPr>
        <w:spacing w:after="0" w:line="191" w:lineRule="exact"/>
        <w:rPr>
          <w:sz w:val="20"/>
          <w:szCs w:val="20"/>
          <w:color w:val="auto"/>
        </w:rPr>
      </w:pPr>
    </w:p>
    <w:p>
      <w:pPr>
        <w:ind w:firstLine="1119"/>
        <w:spacing w:after="0" w:line="267" w:lineRule="auto"/>
        <w:rPr>
          <w:sz w:val="20"/>
          <w:szCs w:val="20"/>
          <w:color w:val="auto"/>
        </w:rPr>
      </w:pPr>
      <w:r>
        <w:rPr>
          <w:rFonts w:ascii="Times New Roman" w:cs="Times New Roman" w:eastAsia="Times New Roman" w:hAnsi="Times New Roman"/>
          <w:sz w:val="16"/>
          <w:szCs w:val="16"/>
          <w:color w:val="auto"/>
        </w:rPr>
        <w:t>The Company may at any time place legends referencing any applicable federal, state or foreign securities law restrictions on all certificates representing shares of stock issued pursuant to this Agreement. The Participant shall, at the request of the Company, promptly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521335</wp:posOffset>
            </wp:positionV>
            <wp:extent cx="6306185" cy="222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06185" cy="22225"/>
                    </a:xfrm>
                    <a:prstGeom prst="rect">
                      <a:avLst/>
                    </a:prstGeom>
                    <a:noFill/>
                  </pic:spPr>
                </pic:pic>
              </a:graphicData>
            </a:graphic>
          </wp:anchor>
        </w:drawing>
      </w:r>
    </w:p>
    <w:p>
      <w:pPr>
        <w:sectPr>
          <w:pgSz w:w="11900" w:h="16838" w:orient="portrait"/>
          <w:cols w:equalWidth="0" w:num="1">
            <w:col w:w="9940"/>
          </w:cols>
          <w:pgMar w:left="980" w:top="123" w:right="979" w:bottom="1440" w:gutter="0" w:footer="0" w:header="0"/>
        </w:sectPr>
      </w:pPr>
    </w:p>
    <w:bookmarkStart w:id="56" w:name="page57"/>
    <w:bookmarkEnd w:id="56"/>
    <w:p>
      <w:pPr>
        <w:ind w:right="540"/>
        <w:spacing w:after="0" w:line="267" w:lineRule="auto"/>
        <w:rPr>
          <w:sz w:val="20"/>
          <w:szCs w:val="20"/>
          <w:color w:val="auto"/>
        </w:rPr>
      </w:pPr>
      <w:r>
        <w:rPr>
          <w:rFonts w:ascii="Times New Roman" w:cs="Times New Roman" w:eastAsia="Times New Roman" w:hAnsi="Times New Roman"/>
          <w:sz w:val="16"/>
          <w:szCs w:val="16"/>
          <w:color w:val="auto"/>
        </w:rPr>
        <w:t>to the Company any and all certificates representing shares acquired pursuant to this Award in the possession of the Participant in order to carry out the provisions of this Section.</w:t>
      </w:r>
    </w:p>
    <w:p>
      <w:pPr>
        <w:spacing w:after="0" w:line="149" w:lineRule="exact"/>
        <w:rPr>
          <w:sz w:val="20"/>
          <w:szCs w:val="20"/>
          <w:color w:val="auto"/>
        </w:rPr>
      </w:pPr>
    </w:p>
    <w:p>
      <w:pPr>
        <w:ind w:left="840" w:hanging="284"/>
        <w:spacing w:after="0"/>
        <w:tabs>
          <w:tab w:leader="none" w:pos="84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Compliance with Section 409A</w:t>
      </w:r>
      <w:r>
        <w:rPr>
          <w:rFonts w:ascii="Times New Roman" w:cs="Times New Roman" w:eastAsia="Times New Roman" w:hAnsi="Times New Roman"/>
          <w:sz w:val="16"/>
          <w:szCs w:val="16"/>
          <w:b w:val="1"/>
          <w:bCs w:val="1"/>
          <w:color w:val="auto"/>
        </w:rPr>
        <w:t>.</w:t>
      </w:r>
    </w:p>
    <w:p>
      <w:pPr>
        <w:spacing w:after="0" w:line="191" w:lineRule="exact"/>
        <w:rPr>
          <w:sz w:val="20"/>
          <w:szCs w:val="20"/>
          <w:color w:val="auto"/>
        </w:rPr>
      </w:pPr>
    </w:p>
    <w:p>
      <w:pPr>
        <w:jc w:val="both"/>
        <w:ind w:firstLine="1119"/>
        <w:spacing w:after="0" w:line="249" w:lineRule="auto"/>
        <w:rPr>
          <w:sz w:val="20"/>
          <w:szCs w:val="20"/>
          <w:color w:val="auto"/>
        </w:rPr>
      </w:pPr>
      <w:r>
        <w:rPr>
          <w:rFonts w:ascii="Times New Roman" w:cs="Times New Roman" w:eastAsia="Times New Roman" w:hAnsi="Times New Roman"/>
          <w:sz w:val="16"/>
          <w:szCs w:val="16"/>
          <w:color w:val="auto"/>
        </w:rPr>
        <w:t>It is intended that any election, payment or benefit which is made or provided pursuant to or in connection with this Award will qualify for an exemption from application of Section 409A, alternatively to the extent that this Award may result in Section 409A Deferred Compensation shall comply in all respects with the applicable requirements of Section 409A (including applicable regulations or other administrative guidance thereunder, as determined by the Committee in good faith) to avoid the unfavorable tax consequences provided therein for non- compliance. If an exemption from application of Section 409A is not available, in connection with effecting such compliance with Section 409A, the following shall apply:</w:t>
      </w:r>
    </w:p>
    <w:p>
      <w:pPr>
        <w:spacing w:after="0" w:line="164" w:lineRule="exact"/>
        <w:rPr>
          <w:sz w:val="20"/>
          <w:szCs w:val="20"/>
          <w:color w:val="auto"/>
        </w:rPr>
      </w:pPr>
    </w:p>
    <w:p>
      <w:pPr>
        <w:jc w:val="both"/>
        <w:ind w:firstLine="1119"/>
        <w:spacing w:after="0" w:line="246" w:lineRule="auto"/>
        <w:rPr>
          <w:sz w:val="20"/>
          <w:szCs w:val="20"/>
          <w:color w:val="auto"/>
        </w:rPr>
      </w:pPr>
      <w:r>
        <w:rPr>
          <w:rFonts w:ascii="Times New Roman" w:cs="Times New Roman" w:eastAsia="Times New Roman" w:hAnsi="Times New Roman"/>
          <w:sz w:val="16"/>
          <w:szCs w:val="16"/>
          <w:color w:val="auto"/>
        </w:rPr>
        <w:t xml:space="preserve">12.1 </w:t>
      </w:r>
      <w:r>
        <w:rPr>
          <w:rFonts w:ascii="Times New Roman" w:cs="Times New Roman" w:eastAsia="Times New Roman" w:hAnsi="Times New Roman"/>
          <w:sz w:val="16"/>
          <w:szCs w:val="16"/>
          <w:b w:val="1"/>
          <w:bCs w:val="1"/>
          <w:color w:val="auto"/>
        </w:rPr>
        <w:t>Separation from Service; Required Delay in Payment to Specified Employee.</w:t>
      </w:r>
      <w:r>
        <w:rPr>
          <w:rFonts w:ascii="Times New Roman" w:cs="Times New Roman" w:eastAsia="Times New Roman" w:hAnsi="Times New Roman"/>
          <w:sz w:val="16"/>
          <w:szCs w:val="16"/>
          <w:color w:val="auto"/>
        </w:rPr>
        <w:t xml:space="preserve"> Notwithstanding anything set forth herein to the contrary, no amount payable pursuant to this Agreement on account of the Participant’s termination of Service which constitutes a “deferral of compensation” within the meaning of the Treasury Regulations issued pursuant to Section 409A of the Code (the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Section 409A Regulations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will be paid unless and until the Participant has incurred a “separation from service” within the meaning of the Section 409A Regulations. Furthermore, to the extent that the Participant is a “specified employee” within the meaning of the Section 409A Regulations as of the date of the Participant’s separation from service, no amount that constitutes a deferral of compensation which is payable on account of the Participant’s separation from service will be paid to the Participant before the date (the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Delayed Payment Date</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which is the first day of the seventh month after the date of the Participant’s separation from service or, if earlier, the date of the Participant’s death following such separation from service. All such amounts that would, but for this Section, become payable prior to the Delayed Payment Date will be accumulated and paid on the Delayed Payment Date.</w:t>
      </w:r>
    </w:p>
    <w:p>
      <w:pPr>
        <w:spacing w:after="0" w:line="170" w:lineRule="exact"/>
        <w:rPr>
          <w:sz w:val="20"/>
          <w:szCs w:val="20"/>
          <w:color w:val="auto"/>
        </w:rPr>
      </w:pPr>
    </w:p>
    <w:p>
      <w:pPr>
        <w:jc w:val="both"/>
        <w:ind w:right="20" w:firstLine="1120"/>
        <w:spacing w:after="0" w:line="270" w:lineRule="auto"/>
        <w:rPr>
          <w:sz w:val="20"/>
          <w:szCs w:val="20"/>
          <w:color w:val="auto"/>
        </w:rPr>
      </w:pPr>
      <w:r>
        <w:rPr>
          <w:rFonts w:ascii="Times New Roman" w:cs="Times New Roman" w:eastAsia="Times New Roman" w:hAnsi="Times New Roman"/>
          <w:sz w:val="16"/>
          <w:szCs w:val="16"/>
          <w:color w:val="auto"/>
        </w:rPr>
        <w:t xml:space="preserve">12.2 </w:t>
      </w:r>
      <w:r>
        <w:rPr>
          <w:rFonts w:ascii="Times New Roman" w:cs="Times New Roman" w:eastAsia="Times New Roman" w:hAnsi="Times New Roman"/>
          <w:sz w:val="16"/>
          <w:szCs w:val="16"/>
          <w:b w:val="1"/>
          <w:bCs w:val="1"/>
          <w:color w:val="auto"/>
        </w:rPr>
        <w:t>Other Changes in Time of Payment.</w:t>
      </w:r>
      <w:r>
        <w:rPr>
          <w:rFonts w:ascii="Times New Roman" w:cs="Times New Roman" w:eastAsia="Times New Roman" w:hAnsi="Times New Roman"/>
          <w:sz w:val="16"/>
          <w:szCs w:val="16"/>
          <w:color w:val="auto"/>
        </w:rPr>
        <w:t xml:space="preserve"> Neither the Participant nor the Company will take any action to accelerate or delay the payment of any benefits under this Agreement in any manner which would not be in compliance with the Section 409A Regulations.</w:t>
      </w:r>
    </w:p>
    <w:p>
      <w:pPr>
        <w:spacing w:after="0" w:line="146" w:lineRule="exact"/>
        <w:rPr>
          <w:sz w:val="20"/>
          <w:szCs w:val="20"/>
          <w:color w:val="auto"/>
        </w:rPr>
      </w:pPr>
    </w:p>
    <w:p>
      <w:pPr>
        <w:jc w:val="both"/>
        <w:ind w:firstLine="1120"/>
        <w:spacing w:after="0" w:line="248" w:lineRule="auto"/>
        <w:rPr>
          <w:sz w:val="20"/>
          <w:szCs w:val="20"/>
          <w:color w:val="auto"/>
        </w:rPr>
      </w:pPr>
      <w:r>
        <w:rPr>
          <w:rFonts w:ascii="Times New Roman" w:cs="Times New Roman" w:eastAsia="Times New Roman" w:hAnsi="Times New Roman"/>
          <w:sz w:val="16"/>
          <w:szCs w:val="16"/>
          <w:color w:val="auto"/>
        </w:rPr>
        <w:t xml:space="preserve">12.3 </w:t>
      </w:r>
      <w:r>
        <w:rPr>
          <w:rFonts w:ascii="Times New Roman" w:cs="Times New Roman" w:eastAsia="Times New Roman" w:hAnsi="Times New Roman"/>
          <w:sz w:val="16"/>
          <w:szCs w:val="16"/>
          <w:b w:val="1"/>
          <w:bCs w:val="1"/>
          <w:color w:val="auto"/>
        </w:rPr>
        <w:t>Amendments to Comply with Section 409A; Indemnification.</w:t>
      </w:r>
      <w:r>
        <w:rPr>
          <w:rFonts w:ascii="Times New Roman" w:cs="Times New Roman" w:eastAsia="Times New Roman" w:hAnsi="Times New Roman"/>
          <w:sz w:val="16"/>
          <w:szCs w:val="16"/>
          <w:color w:val="auto"/>
        </w:rPr>
        <w:t xml:space="preserve"> Notwithstanding any other provision of this Agreement to the contrary, the Company is authorized to amend this Agreement, to void or amend any election made by the Participant under this Agreement and/or to delay the payment of any monies and/or provision of any benefits in such manner as may be determined by the Company, in its discretion, to be necessary or appropriate to comply with the Section 409A Regulations without prior notice to or consent of the Participant. The Participant hereby releases and holds harmless the Company, its directors, officers and stockholders from any and all claims that may arise from or relate to any tax liability, penalties, interest, costs, fees or other liability incurred by the Participant in connection with the Award, including as a result of the application of Section 409A.</w:t>
      </w:r>
    </w:p>
    <w:p>
      <w:pPr>
        <w:spacing w:after="0" w:line="166" w:lineRule="exact"/>
        <w:rPr>
          <w:sz w:val="20"/>
          <w:szCs w:val="20"/>
          <w:color w:val="auto"/>
        </w:rPr>
      </w:pPr>
    </w:p>
    <w:p>
      <w:pPr>
        <w:jc w:val="both"/>
        <w:ind w:right="20" w:firstLine="1120"/>
        <w:spacing w:after="0" w:line="270" w:lineRule="auto"/>
        <w:rPr>
          <w:sz w:val="20"/>
          <w:szCs w:val="20"/>
          <w:color w:val="auto"/>
        </w:rPr>
      </w:pPr>
      <w:r>
        <w:rPr>
          <w:rFonts w:ascii="Times New Roman" w:cs="Times New Roman" w:eastAsia="Times New Roman" w:hAnsi="Times New Roman"/>
          <w:sz w:val="16"/>
          <w:szCs w:val="16"/>
          <w:color w:val="auto"/>
        </w:rPr>
        <w:t xml:space="preserve">12.4 </w:t>
      </w:r>
      <w:r>
        <w:rPr>
          <w:rFonts w:ascii="Times New Roman" w:cs="Times New Roman" w:eastAsia="Times New Roman" w:hAnsi="Times New Roman"/>
          <w:sz w:val="16"/>
          <w:szCs w:val="16"/>
          <w:b w:val="1"/>
          <w:bCs w:val="1"/>
          <w:color w:val="auto"/>
        </w:rPr>
        <w:t>Advice of Independent Tax Advisor.</w:t>
      </w:r>
      <w:r>
        <w:rPr>
          <w:rFonts w:ascii="Times New Roman" w:cs="Times New Roman" w:eastAsia="Times New Roman" w:hAnsi="Times New Roman"/>
          <w:sz w:val="16"/>
          <w:szCs w:val="16"/>
          <w:color w:val="auto"/>
        </w:rPr>
        <w:t xml:space="preserve"> The Company has not obtained a tax ruling or other confirmation from the Internal Revenue Service with regard to the application of Section 409A to the Award, and the Company does not represent or warrant that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519430</wp:posOffset>
            </wp:positionV>
            <wp:extent cx="6306185" cy="222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06185" cy="22225"/>
                    </a:xfrm>
                    <a:prstGeom prst="rect">
                      <a:avLst/>
                    </a:prstGeom>
                    <a:noFill/>
                  </pic:spPr>
                </pic:pic>
              </a:graphicData>
            </a:graphic>
          </wp:anchor>
        </w:drawing>
      </w:r>
    </w:p>
    <w:p>
      <w:pPr>
        <w:sectPr>
          <w:pgSz w:w="11900" w:h="16838" w:orient="portrait"/>
          <w:cols w:equalWidth="0" w:num="1">
            <w:col w:w="9940"/>
          </w:cols>
          <w:pgMar w:left="980" w:top="123" w:right="979" w:bottom="1440" w:gutter="0" w:footer="0" w:header="0"/>
        </w:sectPr>
      </w:pPr>
    </w:p>
    <w:bookmarkStart w:id="57" w:name="page58"/>
    <w:bookmarkEnd w:id="57"/>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will avoid adverse tax consequences to the Participant, including as a result of the application of Section 409A to the Award. The Participant hereby acknowledges that he or she has been advised to seek the advice of his or her own independent tax advisor prior to entering into this Agreement and is not relying upon any representations of the Company or any of its agents as to the effect of or the advisability of entering into this Agreement.</w:t>
      </w:r>
    </w:p>
    <w:p>
      <w:pPr>
        <w:spacing w:after="0" w:line="158" w:lineRule="exact"/>
        <w:rPr>
          <w:sz w:val="20"/>
          <w:szCs w:val="20"/>
          <w:color w:val="auto"/>
        </w:rPr>
      </w:pPr>
    </w:p>
    <w:p>
      <w:pPr>
        <w:ind w:left="840" w:hanging="284"/>
        <w:spacing w:after="0"/>
        <w:tabs>
          <w:tab w:leader="none" w:pos="84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Miscellaneous Provisions</w:t>
      </w:r>
      <w:r>
        <w:rPr>
          <w:rFonts w:ascii="Times New Roman" w:cs="Times New Roman" w:eastAsia="Times New Roman" w:hAnsi="Times New Roman"/>
          <w:sz w:val="16"/>
          <w:szCs w:val="16"/>
          <w:b w:val="1"/>
          <w:bCs w:val="1"/>
          <w:color w:val="auto"/>
        </w:rPr>
        <w:t>.</w:t>
      </w:r>
    </w:p>
    <w:p>
      <w:pPr>
        <w:spacing w:after="0" w:line="189" w:lineRule="exact"/>
        <w:rPr>
          <w:sz w:val="20"/>
          <w:szCs w:val="20"/>
          <w:color w:val="auto"/>
        </w:rPr>
      </w:pPr>
    </w:p>
    <w:p>
      <w:pPr>
        <w:jc w:val="both"/>
        <w:ind w:firstLine="1119"/>
        <w:spacing w:after="0" w:line="300" w:lineRule="auto"/>
        <w:rPr>
          <w:sz w:val="20"/>
          <w:szCs w:val="20"/>
          <w:color w:val="auto"/>
        </w:rPr>
      </w:pPr>
      <w:r>
        <w:rPr>
          <w:rFonts w:ascii="Times New Roman" w:cs="Times New Roman" w:eastAsia="Times New Roman" w:hAnsi="Times New Roman"/>
          <w:sz w:val="14"/>
          <w:szCs w:val="14"/>
          <w:color w:val="auto"/>
        </w:rPr>
        <w:t xml:space="preserve">13.1 </w:t>
      </w:r>
      <w:r>
        <w:rPr>
          <w:rFonts w:ascii="Times New Roman" w:cs="Times New Roman" w:eastAsia="Times New Roman" w:hAnsi="Times New Roman"/>
          <w:sz w:val="14"/>
          <w:szCs w:val="14"/>
          <w:b w:val="1"/>
          <w:bCs w:val="1"/>
          <w:color w:val="auto"/>
        </w:rPr>
        <w:t>Termination or Amendment.</w:t>
      </w:r>
      <w:r>
        <w:rPr>
          <w:rFonts w:ascii="Times New Roman" w:cs="Times New Roman" w:eastAsia="Times New Roman" w:hAnsi="Times New Roman"/>
          <w:sz w:val="14"/>
          <w:szCs w:val="14"/>
          <w:color w:val="auto"/>
        </w:rPr>
        <w:t xml:space="preserve"> The Committee may terminate or amend the Plan or this Agreement at any time; provided, however, that except as provided in Section 8 in connection with a Change in Control, no such termination or amendment may have a materially adverse effect on the Participant’s rights under this Agreement without the consent of the Participant unless such termination or amendment is necessary to comply with applicable law or government regulation, including, but not limited to, Section 409A. No amendment or addition to this Agreement will be effective unless in writing.</w:t>
      </w:r>
    </w:p>
    <w:p>
      <w:pPr>
        <w:spacing w:after="0" w:line="129" w:lineRule="exact"/>
        <w:rPr>
          <w:sz w:val="20"/>
          <w:szCs w:val="20"/>
          <w:color w:val="auto"/>
        </w:rPr>
      </w:pPr>
    </w:p>
    <w:p>
      <w:pPr>
        <w:jc w:val="both"/>
        <w:ind w:firstLine="1119"/>
        <w:spacing w:after="0" w:line="252" w:lineRule="auto"/>
        <w:rPr>
          <w:sz w:val="20"/>
          <w:szCs w:val="20"/>
          <w:color w:val="auto"/>
        </w:rPr>
      </w:pPr>
      <w:r>
        <w:rPr>
          <w:rFonts w:ascii="Times New Roman" w:cs="Times New Roman" w:eastAsia="Times New Roman" w:hAnsi="Times New Roman"/>
          <w:sz w:val="16"/>
          <w:szCs w:val="16"/>
          <w:color w:val="auto"/>
        </w:rPr>
        <w:t xml:space="preserve">13.2 </w:t>
      </w:r>
      <w:r>
        <w:rPr>
          <w:rFonts w:ascii="Times New Roman" w:cs="Times New Roman" w:eastAsia="Times New Roman" w:hAnsi="Times New Roman"/>
          <w:sz w:val="16"/>
          <w:szCs w:val="16"/>
          <w:b w:val="1"/>
          <w:bCs w:val="1"/>
          <w:color w:val="auto"/>
        </w:rPr>
        <w:t>Nontransferability of the Award.</w:t>
      </w:r>
      <w:r>
        <w:rPr>
          <w:rFonts w:ascii="Times New Roman" w:cs="Times New Roman" w:eastAsia="Times New Roman" w:hAnsi="Times New Roman"/>
          <w:sz w:val="16"/>
          <w:szCs w:val="16"/>
          <w:color w:val="auto"/>
        </w:rPr>
        <w:t xml:space="preserve"> Prior to the issuance of shares of Stock on the applicable Settlement Date, neither this Award nor any Units subject to this Award will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will be exercisable during the Participant’s lifetime only by the Participant or the Participant’s guardian or legal representative.</w:t>
      </w:r>
    </w:p>
    <w:p>
      <w:pPr>
        <w:spacing w:after="0" w:line="161" w:lineRule="exact"/>
        <w:rPr>
          <w:sz w:val="20"/>
          <w:szCs w:val="20"/>
          <w:color w:val="auto"/>
        </w:rPr>
      </w:pPr>
    </w:p>
    <w:p>
      <w:pPr>
        <w:jc w:val="both"/>
        <w:ind w:right="20" w:firstLine="1120"/>
        <w:spacing w:after="0" w:line="270" w:lineRule="auto"/>
        <w:rPr>
          <w:sz w:val="20"/>
          <w:szCs w:val="20"/>
          <w:color w:val="auto"/>
        </w:rPr>
      </w:pPr>
      <w:r>
        <w:rPr>
          <w:rFonts w:ascii="Times New Roman" w:cs="Times New Roman" w:eastAsia="Times New Roman" w:hAnsi="Times New Roman"/>
          <w:sz w:val="16"/>
          <w:szCs w:val="16"/>
          <w:color w:val="auto"/>
        </w:rPr>
        <w:t xml:space="preserve">13.3 </w:t>
      </w:r>
      <w:r>
        <w:rPr>
          <w:rFonts w:ascii="Times New Roman" w:cs="Times New Roman" w:eastAsia="Times New Roman" w:hAnsi="Times New Roman"/>
          <w:sz w:val="16"/>
          <w:szCs w:val="16"/>
          <w:b w:val="1"/>
          <w:bCs w:val="1"/>
          <w:color w:val="auto"/>
        </w:rPr>
        <w:t>Further Instruments.</w:t>
      </w:r>
      <w:r>
        <w:rPr>
          <w:rFonts w:ascii="Times New Roman" w:cs="Times New Roman" w:eastAsia="Times New Roman" w:hAnsi="Times New Roman"/>
          <w:sz w:val="16"/>
          <w:szCs w:val="16"/>
          <w:color w:val="auto"/>
        </w:rPr>
        <w:t xml:space="preserve"> The parties hereto agree to execute such further instruments and to take such further action as may reasonably be necessary to carry out the intent of this Agreement.</w:t>
      </w:r>
    </w:p>
    <w:p>
      <w:pPr>
        <w:spacing w:after="0" w:line="146" w:lineRule="exact"/>
        <w:rPr>
          <w:sz w:val="20"/>
          <w:szCs w:val="20"/>
          <w:color w:val="auto"/>
        </w:rPr>
      </w:pPr>
    </w:p>
    <w:p>
      <w:pPr>
        <w:jc w:val="both"/>
        <w:ind w:firstLine="1119"/>
        <w:spacing w:after="0" w:line="270" w:lineRule="auto"/>
        <w:rPr>
          <w:sz w:val="20"/>
          <w:szCs w:val="20"/>
          <w:color w:val="auto"/>
        </w:rPr>
      </w:pPr>
      <w:r>
        <w:rPr>
          <w:rFonts w:ascii="Times New Roman" w:cs="Times New Roman" w:eastAsia="Times New Roman" w:hAnsi="Times New Roman"/>
          <w:sz w:val="16"/>
          <w:szCs w:val="16"/>
          <w:color w:val="auto"/>
        </w:rPr>
        <w:t xml:space="preserve">13.4 </w:t>
      </w:r>
      <w:r>
        <w:rPr>
          <w:rFonts w:ascii="Times New Roman" w:cs="Times New Roman" w:eastAsia="Times New Roman" w:hAnsi="Times New Roman"/>
          <w:sz w:val="16"/>
          <w:szCs w:val="16"/>
          <w:b w:val="1"/>
          <w:bCs w:val="1"/>
          <w:color w:val="auto"/>
        </w:rPr>
        <w:t>Binding Effect.</w:t>
      </w:r>
      <w:r>
        <w:rPr>
          <w:rFonts w:ascii="Times New Roman" w:cs="Times New Roman" w:eastAsia="Times New Roman" w:hAnsi="Times New Roman"/>
          <w:sz w:val="16"/>
          <w:szCs w:val="16"/>
          <w:color w:val="auto"/>
        </w:rPr>
        <w:t xml:space="preserve"> This Agreement will inure to the benefit of the successors and assigns of the Company and, subject to the restrictions on transfer set forth herein, be binding upon the Participant and the Participant’s heirs, executors, administrators, successors and assigns.</w:t>
      </w:r>
    </w:p>
    <w:p>
      <w:pPr>
        <w:spacing w:after="0" w:line="146" w:lineRule="exact"/>
        <w:rPr>
          <w:sz w:val="20"/>
          <w:szCs w:val="20"/>
          <w:color w:val="auto"/>
        </w:rPr>
      </w:pPr>
    </w:p>
    <w:p>
      <w:pPr>
        <w:jc w:val="both"/>
        <w:ind w:firstLine="1119"/>
        <w:spacing w:after="0" w:line="252" w:lineRule="auto"/>
        <w:rPr>
          <w:sz w:val="20"/>
          <w:szCs w:val="20"/>
          <w:color w:val="auto"/>
        </w:rPr>
      </w:pPr>
      <w:r>
        <w:rPr>
          <w:rFonts w:ascii="Times New Roman" w:cs="Times New Roman" w:eastAsia="Times New Roman" w:hAnsi="Times New Roman"/>
          <w:sz w:val="16"/>
          <w:szCs w:val="16"/>
          <w:color w:val="auto"/>
        </w:rPr>
        <w:t xml:space="preserve">13.5 </w:t>
      </w:r>
      <w:r>
        <w:rPr>
          <w:rFonts w:ascii="Times New Roman" w:cs="Times New Roman" w:eastAsia="Times New Roman" w:hAnsi="Times New Roman"/>
          <w:sz w:val="16"/>
          <w:szCs w:val="16"/>
          <w:b w:val="1"/>
          <w:bCs w:val="1"/>
          <w:color w:val="auto"/>
        </w:rPr>
        <w:t>Delivery of Documents and Notices.</w:t>
      </w:r>
      <w:r>
        <w:rPr>
          <w:rFonts w:ascii="Times New Roman" w:cs="Times New Roman" w:eastAsia="Times New Roman" w:hAnsi="Times New Roman"/>
          <w:sz w:val="16"/>
          <w:szCs w:val="16"/>
          <w:color w:val="auto"/>
        </w:rPr>
        <w:t xml:space="preserve"> Any document relating to participation in the Plan or any notice required or permitted hereunder will be given in writing and will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w:t>
      </w:r>
    </w:p>
    <w:p>
      <w:pPr>
        <w:spacing w:after="0" w:line="1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U.S. Post Office or foreign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spacing w:after="0" w:line="158" w:lineRule="exact"/>
        <w:rPr>
          <w:sz w:val="20"/>
          <w:szCs w:val="20"/>
          <w:color w:val="auto"/>
        </w:rPr>
      </w:pPr>
    </w:p>
    <w:p>
      <w:pPr>
        <w:jc w:val="both"/>
        <w:ind w:firstLine="1675"/>
        <w:spacing w:after="0" w:line="252" w:lineRule="auto"/>
        <w:tabs>
          <w:tab w:leader="none" w:pos="1952"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Description of Electronic Delivery. </w:t>
      </w:r>
      <w:r>
        <w:rPr>
          <w:rFonts w:ascii="Times New Roman" w:cs="Times New Roman" w:eastAsia="Times New Roman" w:hAnsi="Times New Roman"/>
          <w:sz w:val="16"/>
          <w:szCs w:val="16"/>
          <w:color w:val="auto"/>
        </w:rPr>
        <w:t>The Plan documents, which may include but do not necessarily include: the Plan, the Grant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Notice, this Agreement, the Plan Prospectus, and any reports of the Company provided generally to the Company’s stockholders, may be delivered to the Participant electronically. In addition, if permitted by the Company, the Participant may deliver electronically the Grant Notice to the Company or to such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765810</wp:posOffset>
            </wp:positionV>
            <wp:extent cx="6306185" cy="222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06185" cy="22225"/>
                    </a:xfrm>
                    <a:prstGeom prst="rect">
                      <a:avLst/>
                    </a:prstGeom>
                    <a:noFill/>
                  </pic:spPr>
                </pic:pic>
              </a:graphicData>
            </a:graphic>
          </wp:anchor>
        </w:drawing>
      </w:r>
    </w:p>
    <w:p>
      <w:pPr>
        <w:sectPr>
          <w:pgSz w:w="11900" w:h="16838" w:orient="portrait"/>
          <w:cols w:equalWidth="0" w:num="1">
            <w:col w:w="9940"/>
          </w:cols>
          <w:pgMar w:left="980" w:top="123" w:right="979" w:bottom="1440" w:gutter="0" w:footer="0" w:header="0"/>
        </w:sectPr>
      </w:pPr>
    </w:p>
    <w:bookmarkStart w:id="58" w:name="page59"/>
    <w:bookmarkEnd w:id="58"/>
    <w:p>
      <w:pPr>
        <w:jc w:val="both"/>
        <w:spacing w:after="0" w:line="255" w:lineRule="auto"/>
        <w:rPr>
          <w:sz w:val="20"/>
          <w:szCs w:val="20"/>
          <w:color w:val="auto"/>
        </w:rPr>
      </w:pPr>
      <w:r>
        <w:rPr>
          <w:rFonts w:ascii="Times New Roman" w:cs="Times New Roman" w:eastAsia="Times New Roman" w:hAnsi="Times New Roman"/>
          <w:sz w:val="16"/>
          <w:szCs w:val="16"/>
          <w:color w:val="auto"/>
        </w:rPr>
        <w:t>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spacing w:after="0" w:line="158" w:lineRule="exact"/>
        <w:rPr>
          <w:sz w:val="20"/>
          <w:szCs w:val="20"/>
          <w:color w:val="auto"/>
        </w:rPr>
      </w:pPr>
    </w:p>
    <w:p>
      <w:pPr>
        <w:jc w:val="both"/>
        <w:ind w:firstLine="1675"/>
        <w:spacing w:after="0" w:line="246" w:lineRule="auto"/>
        <w:tabs>
          <w:tab w:leader="none" w:pos="1946"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Consent to Electronic Delivery. </w:t>
      </w:r>
      <w:r>
        <w:rPr>
          <w:rFonts w:ascii="Times New Roman" w:cs="Times New Roman" w:eastAsia="Times New Roman" w:hAnsi="Times New Roman"/>
          <w:sz w:val="16"/>
          <w:szCs w:val="16"/>
          <w:color w:val="auto"/>
        </w:rPr>
        <w:t>The Participant acknowledges that the Participant has read Section 13.5(a) of this Agreement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consents to the electronic delivery of the Plan documents and, if permitted by the Company, the delivery of the Grant Notice, as described in Section 13.5(a).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13.5(a)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13.5(a).</w:t>
      </w:r>
    </w:p>
    <w:p>
      <w:pPr>
        <w:spacing w:after="0" w:line="168" w:lineRule="exact"/>
        <w:rPr>
          <w:sz w:val="20"/>
          <w:szCs w:val="20"/>
          <w:color w:val="auto"/>
        </w:rPr>
      </w:pPr>
    </w:p>
    <w:p>
      <w:pPr>
        <w:jc w:val="both"/>
        <w:ind w:right="20" w:firstLine="1119"/>
        <w:spacing w:after="0" w:line="250" w:lineRule="auto"/>
        <w:rPr>
          <w:sz w:val="20"/>
          <w:szCs w:val="20"/>
          <w:color w:val="auto"/>
        </w:rPr>
      </w:pPr>
      <w:r>
        <w:rPr>
          <w:rFonts w:ascii="Times New Roman" w:cs="Times New Roman" w:eastAsia="Times New Roman" w:hAnsi="Times New Roman"/>
          <w:sz w:val="16"/>
          <w:szCs w:val="16"/>
          <w:color w:val="auto"/>
        </w:rPr>
        <w:t xml:space="preserve">13.6 </w:t>
      </w:r>
      <w:r>
        <w:rPr>
          <w:rFonts w:ascii="Times New Roman" w:cs="Times New Roman" w:eastAsia="Times New Roman" w:hAnsi="Times New Roman"/>
          <w:sz w:val="16"/>
          <w:szCs w:val="16"/>
          <w:b w:val="1"/>
          <w:bCs w:val="1"/>
          <w:color w:val="auto"/>
        </w:rPr>
        <w:t>Integrated Agreement.</w:t>
      </w:r>
      <w:r>
        <w:rPr>
          <w:rFonts w:ascii="Times New Roman" w:cs="Times New Roman" w:eastAsia="Times New Roman" w:hAnsi="Times New Roman"/>
          <w:sz w:val="16"/>
          <w:szCs w:val="16"/>
          <w:color w:val="auto"/>
        </w:rPr>
        <w:t xml:space="preserve"> The Grant Notice, this Agreement and the Plan, together with the Superseding Agreement, if any, will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will survive any settlement of the Award and will remain in full force and effect.</w:t>
      </w:r>
    </w:p>
    <w:p>
      <w:pPr>
        <w:spacing w:after="0" w:line="162" w:lineRule="exact"/>
        <w:rPr>
          <w:sz w:val="20"/>
          <w:szCs w:val="20"/>
          <w:color w:val="auto"/>
        </w:rPr>
      </w:pPr>
    </w:p>
    <w:p>
      <w:pPr>
        <w:jc w:val="both"/>
        <w:ind w:right="20" w:firstLine="1119"/>
        <w:spacing w:after="0" w:line="270" w:lineRule="auto"/>
        <w:rPr>
          <w:sz w:val="20"/>
          <w:szCs w:val="20"/>
          <w:color w:val="auto"/>
        </w:rPr>
      </w:pPr>
      <w:r>
        <w:rPr>
          <w:rFonts w:ascii="Times New Roman" w:cs="Times New Roman" w:eastAsia="Times New Roman" w:hAnsi="Times New Roman"/>
          <w:sz w:val="16"/>
          <w:szCs w:val="16"/>
          <w:color w:val="auto"/>
        </w:rPr>
        <w:t xml:space="preserve">13.7 </w:t>
      </w:r>
      <w:r>
        <w:rPr>
          <w:rFonts w:ascii="Times New Roman" w:cs="Times New Roman" w:eastAsia="Times New Roman" w:hAnsi="Times New Roman"/>
          <w:sz w:val="16"/>
          <w:szCs w:val="16"/>
          <w:b w:val="1"/>
          <w:bCs w:val="1"/>
          <w:color w:val="auto"/>
        </w:rPr>
        <w:t>Applicable Law.</w:t>
      </w:r>
      <w:r>
        <w:rPr>
          <w:rFonts w:ascii="Times New Roman" w:cs="Times New Roman" w:eastAsia="Times New Roman" w:hAnsi="Times New Roman"/>
          <w:sz w:val="16"/>
          <w:szCs w:val="16"/>
          <w:color w:val="auto"/>
        </w:rPr>
        <w:t xml:space="preserve"> This Agreement will be governed by the laws of the State of Delaware as such laws are applied to agreements between Delaware residents entered into and to be performed entirely within the State of Delaware.</w:t>
      </w:r>
    </w:p>
    <w:p>
      <w:pPr>
        <w:spacing w:after="0" w:line="146" w:lineRule="exact"/>
        <w:rPr>
          <w:sz w:val="20"/>
          <w:szCs w:val="20"/>
          <w:color w:val="auto"/>
        </w:rPr>
      </w:pPr>
    </w:p>
    <w:p>
      <w:pPr>
        <w:jc w:val="both"/>
        <w:ind w:right="20" w:firstLine="1119"/>
        <w:spacing w:after="0" w:line="270" w:lineRule="auto"/>
        <w:rPr>
          <w:sz w:val="20"/>
          <w:szCs w:val="20"/>
          <w:color w:val="auto"/>
        </w:rPr>
      </w:pPr>
      <w:r>
        <w:rPr>
          <w:rFonts w:ascii="Times New Roman" w:cs="Times New Roman" w:eastAsia="Times New Roman" w:hAnsi="Times New Roman"/>
          <w:sz w:val="16"/>
          <w:szCs w:val="16"/>
          <w:color w:val="auto"/>
        </w:rPr>
        <w:t xml:space="preserve">13.8 </w:t>
      </w:r>
      <w:r>
        <w:rPr>
          <w:rFonts w:ascii="Times New Roman" w:cs="Times New Roman" w:eastAsia="Times New Roman" w:hAnsi="Times New Roman"/>
          <w:sz w:val="16"/>
          <w:szCs w:val="16"/>
          <w:b w:val="1"/>
          <w:bCs w:val="1"/>
          <w:color w:val="auto"/>
        </w:rPr>
        <w:t>Counterparts.</w:t>
      </w:r>
      <w:r>
        <w:rPr>
          <w:rFonts w:ascii="Times New Roman" w:cs="Times New Roman" w:eastAsia="Times New Roman" w:hAnsi="Times New Roman"/>
          <w:sz w:val="16"/>
          <w:szCs w:val="16"/>
          <w:color w:val="auto"/>
        </w:rPr>
        <w:t xml:space="preserve"> The Grant Notice may be executed in counterparts, each of which will be deemed an original, but all of which together will constitute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282575</wp:posOffset>
            </wp:positionV>
            <wp:extent cx="6306185" cy="222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06185" cy="22225"/>
                    </a:xfrm>
                    <a:prstGeom prst="rect">
                      <a:avLst/>
                    </a:prstGeom>
                    <a:noFill/>
                  </pic:spPr>
                </pic:pic>
              </a:graphicData>
            </a:graphic>
          </wp:anchor>
        </w:drawing>
      </w:r>
    </w:p>
    <w:p>
      <w:pPr>
        <w:sectPr>
          <w:pgSz w:w="11900" w:h="16838" w:orient="portrait"/>
          <w:cols w:equalWidth="0" w:num="1">
            <w:col w:w="9940"/>
          </w:cols>
          <w:pgMar w:left="980" w:top="123" w:right="979" w:bottom="1440" w:gutter="0" w:footer="0" w:header="0"/>
        </w:sectPr>
      </w:pPr>
    </w:p>
    <w:bookmarkStart w:id="59" w:name="page60"/>
    <w:bookmarkEnd w:id="59"/>
    <w:p>
      <w:pPr>
        <w:ind w:left="8960"/>
        <w:spacing w:after="0"/>
        <w:rPr>
          <w:sz w:val="20"/>
          <w:szCs w:val="20"/>
          <w:color w:val="auto"/>
        </w:rPr>
      </w:pPr>
      <w:r>
        <w:rPr>
          <w:rFonts w:ascii="Times New Roman" w:cs="Times New Roman" w:eastAsia="Times New Roman" w:hAnsi="Times New Roman"/>
          <w:sz w:val="14"/>
          <w:szCs w:val="14"/>
          <w:b w:val="1"/>
          <w:bCs w:val="1"/>
          <w:color w:val="auto"/>
        </w:rPr>
        <w:t>EXHIBIT 10.3</w:t>
      </w:r>
    </w:p>
    <w:p>
      <w:pPr>
        <w:spacing w:after="0" w:line="21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6"/>
          <w:szCs w:val="16"/>
          <w:b w:val="1"/>
          <w:bCs w:val="1"/>
          <w:color w:val="auto"/>
        </w:rPr>
        <w:t>BINAH CAPITAL GROUP, INC.</w:t>
      </w:r>
    </w:p>
    <w:p>
      <w:pPr>
        <w:spacing w:after="0" w:line="2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6"/>
          <w:szCs w:val="16"/>
          <w:b w:val="1"/>
          <w:bCs w:val="1"/>
          <w:color w:val="auto"/>
        </w:rPr>
        <w:t>NOTICE OF GRANT OF STOCK OPTION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U.S. Participants)</w:t>
      </w:r>
    </w:p>
    <w:p>
      <w:pPr>
        <w:spacing w:after="0" w:line="172"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 xml:space="preserve">Binah Capital Group, Inc. (the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has granted to the Participant an option (the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Option</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to purchase certain shares of Stock pursuant to the Binah Capital Group, Inc. 2024 Equity Incentive Plan (the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Plan</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Participant:</w:t>
            </w:r>
          </w:p>
        </w:tc>
        <w:tc>
          <w:tcPr>
            <w:tcW w:w="1540" w:type="dxa"/>
            <w:vAlign w:val="bottom"/>
          </w:tcPr>
          <w:p>
            <w:pPr>
              <w:spacing w:after="0"/>
              <w:rPr>
                <w:sz w:val="16"/>
                <w:szCs w:val="16"/>
                <w:color w:val="auto"/>
              </w:rPr>
            </w:pPr>
          </w:p>
        </w:tc>
        <w:tc>
          <w:tcPr>
            <w:tcW w:w="4900" w:type="dxa"/>
            <w:vAlign w:val="bottom"/>
          </w:tcPr>
          <w:p>
            <w:pPr>
              <w:ind w:left="3820"/>
              <w:spacing w:after="0"/>
              <w:rPr>
                <w:sz w:val="20"/>
                <w:szCs w:val="20"/>
                <w:color w:val="auto"/>
              </w:rPr>
            </w:pPr>
            <w:r>
              <w:rPr>
                <w:rFonts w:ascii="Times New Roman" w:cs="Times New Roman" w:eastAsia="Times New Roman" w:hAnsi="Times New Roman"/>
                <w:sz w:val="16"/>
                <w:szCs w:val="16"/>
                <w:b w:val="1"/>
                <w:bCs w:val="1"/>
                <w:color w:val="auto"/>
              </w:rPr>
              <w:t>Employee ID:</w:t>
            </w: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Date of Grant:</w:t>
            </w:r>
          </w:p>
        </w:tc>
        <w:tc>
          <w:tcPr>
            <w:tcW w:w="1540" w:type="dxa"/>
            <w:vAlign w:val="bottom"/>
            <w:tcBorders>
              <w:bottom w:val="single" w:sz="8" w:color="auto"/>
            </w:tcBorders>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440" w:type="dxa"/>
            <w:vAlign w:val="bottom"/>
            <w:vMerge w:val="continue"/>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Number of Option Shares:</w:t>
            </w:r>
          </w:p>
        </w:tc>
        <w:tc>
          <w:tcPr>
            <w:tcW w:w="6440" w:type="dxa"/>
            <w:vAlign w:val="bottom"/>
            <w:gridSpan w:val="2"/>
          </w:tcPr>
          <w:p>
            <w:pPr>
              <w:ind w:left="1540"/>
              <w:spacing w:after="0"/>
              <w:rPr>
                <w:sz w:val="20"/>
                <w:szCs w:val="20"/>
                <w:color w:val="auto"/>
              </w:rPr>
            </w:pPr>
            <w:r>
              <w:rPr>
                <w:rFonts w:ascii="Times New Roman" w:cs="Times New Roman" w:eastAsia="Times New Roman" w:hAnsi="Times New Roman"/>
                <w:sz w:val="16"/>
                <w:szCs w:val="16"/>
                <w:color w:val="auto"/>
              </w:rPr>
              <w:t>, subject to adjustment as provided by the Option Agreement.</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5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4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Vesting Start Date:</w:t>
            </w:r>
          </w:p>
        </w:tc>
        <w:tc>
          <w:tcPr>
            <w:tcW w:w="1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Date of Grant</w:t>
            </w:r>
          </w:p>
        </w:tc>
        <w:tc>
          <w:tcPr>
            <w:tcW w:w="4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7"/>
        </w:trPr>
        <w:tc>
          <w:tcPr>
            <w:tcW w:w="2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Option Expiration Date:</w:t>
            </w:r>
          </w:p>
        </w:tc>
        <w:tc>
          <w:tcPr>
            <w:tcW w:w="6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The tenth anniversary of the Date of Grant</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Tax Status of Option:</w:t>
            </w:r>
          </w:p>
        </w:tc>
        <w:tc>
          <w:tcPr>
            <w:tcW w:w="6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Nonstatutory Stock Option.</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440" w:type="dxa"/>
            <w:vAlign w:val="bottom"/>
          </w:tcPr>
          <w:p>
            <w:pPr>
              <w:spacing w:after="0"/>
              <w:rPr>
                <w:sz w:val="24"/>
                <w:szCs w:val="24"/>
                <w:color w:val="auto"/>
              </w:rPr>
            </w:pPr>
          </w:p>
        </w:tc>
        <w:tc>
          <w:tcPr>
            <w:tcW w:w="748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Except as provided in the Option Agreement and provided the Participant’s Service has not terminated prior to the</w:t>
            </w:r>
          </w:p>
        </w:tc>
        <w:tc>
          <w:tcPr>
            <w:tcW w:w="0" w:type="dxa"/>
            <w:vAlign w:val="bottom"/>
          </w:tcPr>
          <w:p>
            <w:pPr>
              <w:spacing w:after="0"/>
              <w:rPr>
                <w:sz w:val="1"/>
                <w:szCs w:val="1"/>
                <w:color w:val="auto"/>
              </w:rPr>
            </w:pPr>
          </w:p>
        </w:tc>
      </w:tr>
      <w:tr>
        <w:trPr>
          <w:trHeight w:val="185"/>
        </w:trPr>
        <w:tc>
          <w:tcPr>
            <w:tcW w:w="2440" w:type="dxa"/>
            <w:vAlign w:val="bottom"/>
          </w:tcPr>
          <w:p>
            <w:pPr>
              <w:spacing w:after="0"/>
              <w:rPr>
                <w:sz w:val="16"/>
                <w:szCs w:val="16"/>
                <w:color w:val="auto"/>
              </w:rPr>
            </w:pPr>
          </w:p>
        </w:tc>
        <w:tc>
          <w:tcPr>
            <w:tcW w:w="748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w w:val="98"/>
              </w:rPr>
              <w:t>applicable date, the number of Vested Shares (disregarding any resulting fractional share) as of any date is determined</w:t>
            </w:r>
          </w:p>
        </w:tc>
        <w:tc>
          <w:tcPr>
            <w:tcW w:w="0" w:type="dxa"/>
            <w:vAlign w:val="bottom"/>
          </w:tcPr>
          <w:p>
            <w:pPr>
              <w:spacing w:after="0"/>
              <w:rPr>
                <w:sz w:val="1"/>
                <w:szCs w:val="1"/>
                <w:color w:val="auto"/>
              </w:rPr>
            </w:pPr>
          </w:p>
        </w:tc>
      </w:tr>
      <w:tr>
        <w:trPr>
          <w:trHeight w:val="187"/>
        </w:trPr>
        <w:tc>
          <w:tcPr>
            <w:tcW w:w="2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Vested Shares:</w:t>
            </w:r>
          </w:p>
        </w:tc>
        <w:tc>
          <w:tcPr>
            <w:tcW w:w="748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 xml:space="preserve">by multiplying the Number of Option Shares by 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Vested Ratio</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determined as of such date, as follows:</w:t>
            </w:r>
          </w:p>
        </w:tc>
        <w:tc>
          <w:tcPr>
            <w:tcW w:w="0" w:type="dxa"/>
            <w:vAlign w:val="bottom"/>
          </w:tcPr>
          <w:p>
            <w:pPr>
              <w:spacing w:after="0"/>
              <w:rPr>
                <w:sz w:val="1"/>
                <w:szCs w:val="1"/>
                <w:color w:val="auto"/>
              </w:rPr>
            </w:pPr>
          </w:p>
        </w:tc>
      </w:tr>
      <w:tr>
        <w:trPr>
          <w:trHeight w:val="170"/>
        </w:trPr>
        <w:tc>
          <w:tcPr>
            <w:tcW w:w="2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40" w:type="dxa"/>
            <w:vAlign w:val="bottom"/>
            <w:gridSpan w:val="3"/>
          </w:tcPr>
          <w:p>
            <w:pPr>
              <w:jc w:val="center"/>
              <w:ind w:right="20"/>
              <w:spacing w:after="0" w:line="171" w:lineRule="exact"/>
              <w:rPr>
                <w:sz w:val="20"/>
                <w:szCs w:val="20"/>
                <w:color w:val="auto"/>
              </w:rPr>
            </w:pPr>
            <w:r>
              <w:rPr>
                <w:rFonts w:ascii="Times New Roman" w:cs="Times New Roman" w:eastAsia="Times New Roman" w:hAnsi="Times New Roman"/>
                <w:sz w:val="16"/>
                <w:szCs w:val="16"/>
                <w:b w:val="1"/>
                <w:bCs w:val="1"/>
                <w:color w:val="auto"/>
                <w:w w:val="93"/>
              </w:rPr>
              <w:t>Vested Ratio</w:t>
            </w:r>
          </w:p>
        </w:tc>
        <w:tc>
          <w:tcPr>
            <w:tcW w:w="0" w:type="dxa"/>
            <w:vAlign w:val="bottom"/>
          </w:tcPr>
          <w:p>
            <w:pPr>
              <w:spacing w:after="0"/>
              <w:rPr>
                <w:sz w:val="1"/>
                <w:szCs w:val="1"/>
                <w:color w:val="auto"/>
              </w:rPr>
            </w:pPr>
          </w:p>
        </w:tc>
      </w:tr>
      <w:tr>
        <w:trPr>
          <w:trHeight w:val="201"/>
        </w:trPr>
        <w:tc>
          <w:tcPr>
            <w:tcW w:w="2440" w:type="dxa"/>
            <w:vAlign w:val="bottom"/>
          </w:tcPr>
          <w:p>
            <w:pPr>
              <w:spacing w:after="0"/>
              <w:rPr>
                <w:sz w:val="17"/>
                <w:szCs w:val="17"/>
                <w:color w:val="auto"/>
              </w:rPr>
            </w:pPr>
          </w:p>
        </w:tc>
        <w:tc>
          <w:tcPr>
            <w:tcW w:w="6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Each annual anniversary of the Vesting Start Date</w:t>
            </w:r>
          </w:p>
        </w:tc>
        <w:tc>
          <w:tcPr>
            <w:tcW w:w="100" w:type="dxa"/>
            <w:vAlign w:val="bottom"/>
          </w:tcPr>
          <w:p>
            <w:pPr>
              <w:spacing w:after="0"/>
              <w:rPr>
                <w:sz w:val="17"/>
                <w:szCs w:val="17"/>
                <w:color w:val="auto"/>
              </w:rPr>
            </w:pPr>
          </w:p>
        </w:tc>
        <w:tc>
          <w:tcPr>
            <w:tcW w:w="820" w:type="dxa"/>
            <w:vAlign w:val="bottom"/>
            <w:tcBorders>
              <w:top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2440" w:type="dxa"/>
            <w:vAlign w:val="bottom"/>
          </w:tcPr>
          <w:p>
            <w:pPr>
              <w:spacing w:after="0"/>
              <w:rPr>
                <w:sz w:val="24"/>
                <w:szCs w:val="24"/>
                <w:color w:val="auto"/>
              </w:rPr>
            </w:pPr>
          </w:p>
        </w:tc>
        <w:tc>
          <w:tcPr>
            <w:tcW w:w="748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Immediately before and contingent upon a Change in Control (as defined in the Plan), provided the Participant’s</w:t>
            </w:r>
          </w:p>
        </w:tc>
        <w:tc>
          <w:tcPr>
            <w:tcW w:w="0" w:type="dxa"/>
            <w:vAlign w:val="bottom"/>
          </w:tcPr>
          <w:p>
            <w:pPr>
              <w:spacing w:after="0"/>
              <w:rPr>
                <w:sz w:val="1"/>
                <w:szCs w:val="1"/>
                <w:color w:val="auto"/>
              </w:rPr>
            </w:pPr>
          </w:p>
        </w:tc>
      </w:tr>
      <w:tr>
        <w:trPr>
          <w:trHeight w:val="187"/>
        </w:trPr>
        <w:tc>
          <w:tcPr>
            <w:tcW w:w="24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Accelerated Vesting:</w:t>
            </w:r>
          </w:p>
        </w:tc>
        <w:tc>
          <w:tcPr>
            <w:tcW w:w="748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w w:val="97"/>
              </w:rPr>
              <w:t>Service has not terminated prior to the applicable date, 100% of the Option Shares that had not yet become exercisable</w:t>
            </w:r>
          </w:p>
        </w:tc>
        <w:tc>
          <w:tcPr>
            <w:tcW w:w="0" w:type="dxa"/>
            <w:vAlign w:val="bottom"/>
          </w:tcPr>
          <w:p>
            <w:pPr>
              <w:spacing w:after="0"/>
              <w:rPr>
                <w:sz w:val="1"/>
                <w:szCs w:val="1"/>
                <w:color w:val="auto"/>
              </w:rPr>
            </w:pPr>
          </w:p>
        </w:tc>
      </w:tr>
      <w:tr>
        <w:trPr>
          <w:trHeight w:val="203"/>
        </w:trPr>
        <w:tc>
          <w:tcPr>
            <w:tcW w:w="2440" w:type="dxa"/>
            <w:vAlign w:val="bottom"/>
            <w:vMerge w:val="continue"/>
          </w:tcPr>
          <w:p>
            <w:pPr>
              <w:spacing w:after="0"/>
              <w:rPr>
                <w:sz w:val="17"/>
                <w:szCs w:val="17"/>
                <w:color w:val="auto"/>
              </w:rPr>
            </w:pPr>
          </w:p>
        </w:tc>
        <w:tc>
          <w:tcPr>
            <w:tcW w:w="6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will become exercisable.</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3"/>
        </w:trPr>
        <w:tc>
          <w:tcPr>
            <w:tcW w:w="2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Superseding Agreement:</w:t>
            </w:r>
          </w:p>
        </w:tc>
        <w:tc>
          <w:tcPr>
            <w:tcW w:w="6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None</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By their signatures below or by electronic acceptance or authentication in a form authorized by the Company, the Company and the Participant agree that the Option is governed by this Grant Notice and by the provisions of the Option Agreement and the Plan, both of which are made a part of this document, and by the Superseding Agreement, if any. The Participant acknowledges that copies of the Plan, the Option Agreement and the prospectus for the Plan are available on the Company’s internal web site and may be viewed and printed by the Participant for attachment to the Participant’s copy of this Grant Notice. The Participant represents that the Participant has read and is familiar with the provisions of the Option Agreement and the Plan, and hereby accepts the Option subject to all of their terms and conditions.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BINAH CAPITAL GROUP, INC.</w:t>
            </w:r>
          </w:p>
        </w:tc>
        <w:tc>
          <w:tcPr>
            <w:tcW w:w="4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PARTICIPANT</w:t>
            </w:r>
          </w:p>
        </w:tc>
        <w:tc>
          <w:tcPr>
            <w:tcW w:w="0" w:type="dxa"/>
            <w:vAlign w:val="bottom"/>
          </w:tcPr>
          <w:p>
            <w:pPr>
              <w:spacing w:after="0"/>
              <w:rPr>
                <w:sz w:val="1"/>
                <w:szCs w:val="1"/>
                <w:color w:val="auto"/>
              </w:rPr>
            </w:pPr>
          </w:p>
        </w:tc>
      </w:tr>
      <w:tr>
        <w:trPr>
          <w:trHeight w:val="373"/>
        </w:trPr>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By:</w:t>
            </w: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4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5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Signature</w:t>
            </w:r>
          </w:p>
        </w:tc>
        <w:tc>
          <w:tcPr>
            <w:tcW w:w="0" w:type="dxa"/>
            <w:vAlign w:val="bottom"/>
          </w:tcPr>
          <w:p>
            <w:pPr>
              <w:spacing w:after="0"/>
              <w:rPr>
                <w:sz w:val="1"/>
                <w:szCs w:val="1"/>
                <w:color w:val="auto"/>
              </w:rPr>
            </w:pPr>
          </w:p>
        </w:tc>
      </w:tr>
      <w:tr>
        <w:trPr>
          <w:trHeight w:val="171"/>
        </w:trPr>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20" w:type="dxa"/>
            <w:vAlign w:val="bottom"/>
            <w:tcBorders>
              <w:bottom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10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auto"/>
              </w:rPr>
              <w:t>Address:  80 State Street</w:t>
            </w:r>
          </w:p>
        </w:tc>
        <w:tc>
          <w:tcPr>
            <w:tcW w:w="4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Date</w:t>
            </w:r>
          </w:p>
        </w:tc>
        <w:tc>
          <w:tcPr>
            <w:tcW w:w="0" w:type="dxa"/>
            <w:vAlign w:val="bottom"/>
          </w:tcPr>
          <w:p>
            <w:pPr>
              <w:spacing w:after="0"/>
              <w:rPr>
                <w:sz w:val="1"/>
                <w:szCs w:val="1"/>
                <w:color w:val="auto"/>
              </w:rPr>
            </w:pPr>
          </w:p>
        </w:tc>
      </w:tr>
      <w:tr>
        <w:trPr>
          <w:trHeight w:val="170"/>
        </w:trPr>
        <w:tc>
          <w:tcPr>
            <w:tcW w:w="510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4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40" w:type="dxa"/>
            <w:vAlign w:val="bottom"/>
          </w:tcPr>
          <w:p>
            <w:pPr>
              <w:spacing w:after="0"/>
              <w:rPr>
                <w:sz w:val="16"/>
                <w:szCs w:val="16"/>
                <w:color w:val="auto"/>
              </w:rPr>
            </w:pPr>
          </w:p>
        </w:tc>
        <w:tc>
          <w:tcPr>
            <w:tcW w:w="436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color w:val="auto"/>
              </w:rPr>
              <w:t>Albany, NY 12207</w:t>
            </w:r>
          </w:p>
        </w:tc>
        <w:tc>
          <w:tcPr>
            <w:tcW w:w="20" w:type="dxa"/>
            <w:vAlign w:val="bottom"/>
          </w:tcPr>
          <w:p>
            <w:pPr>
              <w:spacing w:after="0"/>
              <w:rPr>
                <w:sz w:val="16"/>
                <w:szCs w:val="16"/>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Address</w:t>
            </w:r>
          </w:p>
        </w:tc>
        <w:tc>
          <w:tcPr>
            <w:tcW w:w="0" w:type="dxa"/>
            <w:vAlign w:val="bottom"/>
          </w:tcPr>
          <w:p>
            <w:pPr>
              <w:spacing w:after="0"/>
              <w:rPr>
                <w:sz w:val="1"/>
                <w:szCs w:val="1"/>
                <w:color w:val="auto"/>
              </w:rPr>
            </w:pPr>
          </w:p>
        </w:tc>
      </w:tr>
      <w:tr>
        <w:trPr>
          <w:trHeight w:val="392"/>
        </w:trPr>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ATTACHMENTS:</w:t>
            </w:r>
          </w:p>
        </w:tc>
        <w:tc>
          <w:tcPr>
            <w:tcW w:w="856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2024 Equity Incentive Plan, as amended to the Date of Grant; Stock Option Agreement, Exercise Notice and Plan Prospectus</w:t>
            </w:r>
          </w:p>
        </w:tc>
        <w:tc>
          <w:tcPr>
            <w:tcW w:w="0" w:type="dxa"/>
            <w:vAlign w:val="bottom"/>
          </w:tcPr>
          <w:p>
            <w:pPr>
              <w:spacing w:after="0"/>
              <w:rPr>
                <w:sz w:val="1"/>
                <w:szCs w:val="1"/>
                <w:color w:val="auto"/>
              </w:rPr>
            </w:pPr>
          </w:p>
        </w:tc>
      </w:tr>
      <w:tr>
        <w:trPr>
          <w:trHeight w:val="1229"/>
        </w:trPr>
        <w:tc>
          <w:tcPr>
            <w:tcW w:w="7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121" w:right="979" w:bottom="1440" w:gutter="0" w:footer="0" w:header="0"/>
        </w:sectPr>
      </w:pPr>
    </w:p>
    <w:bookmarkStart w:id="60" w:name="page61"/>
    <w:bookmarkEnd w:id="60"/>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BINAH CAPITAL GROUP, INC.</w:t>
      </w:r>
    </w:p>
    <w:p>
      <w:pPr>
        <w:spacing w:after="0" w:line="2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STOCK OPTION AGREEMENT</w:t>
      </w:r>
    </w:p>
    <w:p>
      <w:pPr>
        <w:spacing w:after="0" w:line="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(For U.S. Participants)</w:t>
      </w:r>
    </w:p>
    <w:p>
      <w:pPr>
        <w:spacing w:after="0" w:line="172" w:lineRule="exact"/>
        <w:rPr>
          <w:sz w:val="20"/>
          <w:szCs w:val="20"/>
          <w:color w:val="auto"/>
        </w:rPr>
      </w:pPr>
    </w:p>
    <w:p>
      <w:pPr>
        <w:jc w:val="both"/>
        <w:ind w:left="5" w:firstLine="560"/>
        <w:spacing w:after="0" w:line="246" w:lineRule="auto"/>
        <w:rPr>
          <w:sz w:val="20"/>
          <w:szCs w:val="20"/>
          <w:color w:val="auto"/>
        </w:rPr>
      </w:pPr>
      <w:r>
        <w:rPr>
          <w:rFonts w:ascii="Times New Roman" w:cs="Times New Roman" w:eastAsia="Times New Roman" w:hAnsi="Times New Roman"/>
          <w:sz w:val="16"/>
          <w:szCs w:val="16"/>
          <w:color w:val="auto"/>
        </w:rPr>
        <w:t xml:space="preserve">Binah Capital Group, Inc. (the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has granted to the Participant named in the </w:t>
      </w:r>
      <w:r>
        <w:rPr>
          <w:rFonts w:ascii="Times New Roman" w:cs="Times New Roman" w:eastAsia="Times New Roman" w:hAnsi="Times New Roman"/>
          <w:sz w:val="16"/>
          <w:szCs w:val="16"/>
          <w:i w:val="1"/>
          <w:iCs w:val="1"/>
          <w:color w:val="auto"/>
        </w:rPr>
        <w:t>Notice of Grant of Stock Option</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Grant Notice</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to which this Stock Option Agreement (the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Option Agreement</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is attached an option (the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Option</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to purchase certain shares of Stock upon the terms and conditions set forth in the Grant Notice and this Option Agreement. The Option has been granted pursuant to and shall in all respects be subject to the terms and conditions of the Binah Capital Group, Inc. 2024 Equity Incentive Plan (the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Plan</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as amended to the Date of Grant, the provisions of which are incorporated herein by reference. By signing the Grant Notice, the Participant: (a) acknowledges receipt of, and represents that the Participant has read and is familiar with, the Grant Notice, this Option Agreement, the Plan and a prospectus for the Plan prepared in connection with the registration with the Securities and Exchange Commission of shares issuable pursuant to the Option (the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Plan Prospectus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(b) accepts the Option subject to all of the terms and conditions of the Grant Notice, this Option Agreement and the Plan and (c) agrees to accept as binding, conclusive and final all decisions or interpretations of the Committee upon any questions arising under the Grant Notice, this Option Agreement or the Plan.</w:t>
      </w:r>
    </w:p>
    <w:p>
      <w:pPr>
        <w:spacing w:after="0" w:line="170" w:lineRule="exact"/>
        <w:rPr>
          <w:sz w:val="20"/>
          <w:szCs w:val="20"/>
          <w:color w:val="auto"/>
        </w:rPr>
      </w:pPr>
    </w:p>
    <w:p>
      <w:pPr>
        <w:ind w:left="1125" w:hanging="564"/>
        <w:spacing w:after="0"/>
        <w:tabs>
          <w:tab w:leader="none" w:pos="1125"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DEFINITIONS AND CONSTRUCTION</w:t>
      </w:r>
      <w:r>
        <w:rPr>
          <w:rFonts w:ascii="Times New Roman" w:cs="Times New Roman" w:eastAsia="Times New Roman" w:hAnsi="Times New Roman"/>
          <w:sz w:val="16"/>
          <w:szCs w:val="16"/>
          <w:b w:val="1"/>
          <w:bCs w:val="1"/>
          <w:color w:val="auto"/>
        </w:rPr>
        <w:t>.</w:t>
      </w:r>
    </w:p>
    <w:p>
      <w:pPr>
        <w:spacing w:after="0" w:line="189" w:lineRule="exact"/>
        <w:rPr>
          <w:sz w:val="20"/>
          <w:szCs w:val="20"/>
          <w:color w:val="auto"/>
        </w:rPr>
      </w:pPr>
    </w:p>
    <w:p>
      <w:pPr>
        <w:ind w:left="1125"/>
        <w:spacing w:after="0"/>
        <w:tabs>
          <w:tab w:leader="none" w:pos="1664" w:val="left"/>
        </w:tabs>
        <w:rPr>
          <w:sz w:val="20"/>
          <w:szCs w:val="20"/>
          <w:color w:val="auto"/>
        </w:rPr>
      </w:pPr>
      <w:r>
        <w:rPr>
          <w:rFonts w:ascii="Times New Roman" w:cs="Times New Roman" w:eastAsia="Times New Roman" w:hAnsi="Times New Roman"/>
          <w:sz w:val="16"/>
          <w:szCs w:val="16"/>
          <w:color w:val="auto"/>
        </w:rPr>
        <w:t>1.1</w:t>
      </w:r>
      <w:r>
        <w:rPr>
          <w:sz w:val="20"/>
          <w:szCs w:val="20"/>
          <w:color w:val="auto"/>
        </w:rPr>
        <w:tab/>
      </w:r>
      <w:r>
        <w:rPr>
          <w:rFonts w:ascii="Times New Roman" w:cs="Times New Roman" w:eastAsia="Times New Roman" w:hAnsi="Times New Roman"/>
          <w:sz w:val="14"/>
          <w:szCs w:val="14"/>
          <w:b w:val="1"/>
          <w:bCs w:val="1"/>
          <w:color w:val="auto"/>
        </w:rPr>
        <w:t>Definitions</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Unless otherwise defined herein, capitalized terms shall have the meanings assigned to such terms in the Grant Notice</w:t>
      </w:r>
    </w:p>
    <w:p>
      <w:pPr>
        <w:spacing w:after="0" w:line="2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or the Plan.</w:t>
      </w:r>
    </w:p>
    <w:p>
      <w:pPr>
        <w:spacing w:after="0" w:line="172" w:lineRule="exact"/>
        <w:rPr>
          <w:sz w:val="20"/>
          <w:szCs w:val="20"/>
          <w:color w:val="auto"/>
        </w:rPr>
      </w:pPr>
    </w:p>
    <w:p>
      <w:pPr>
        <w:jc w:val="both"/>
        <w:ind w:left="5" w:firstLine="1120"/>
        <w:spacing w:after="0" w:line="257" w:lineRule="auto"/>
        <w:rPr>
          <w:sz w:val="20"/>
          <w:szCs w:val="20"/>
          <w:color w:val="auto"/>
        </w:rPr>
      </w:pPr>
      <w:r>
        <w:rPr>
          <w:rFonts w:ascii="Times New Roman" w:cs="Times New Roman" w:eastAsia="Times New Roman" w:hAnsi="Times New Roman"/>
          <w:sz w:val="16"/>
          <w:szCs w:val="16"/>
          <w:color w:val="auto"/>
        </w:rPr>
        <w:t xml:space="preserve">1.2 </w:t>
      </w:r>
      <w:r>
        <w:rPr>
          <w:rFonts w:ascii="Times New Roman" w:cs="Times New Roman" w:eastAsia="Times New Roman" w:hAnsi="Times New Roman"/>
          <w:sz w:val="16"/>
          <w:szCs w:val="16"/>
          <w:b w:val="1"/>
          <w:bCs w:val="1"/>
          <w:color w:val="auto"/>
        </w:rPr>
        <w:t>Construction</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Captions and titles contained herein are for convenience only and shall not affect the meaning or interpretation of any provision of this Option Agreement. Except when otherwise indicated by the context, the singular shall include the plural and the plural shall include the singular. Use of the term “or” is not intended to be exclusive, unless the context clearly requires otherwise.</w:t>
      </w:r>
    </w:p>
    <w:p>
      <w:pPr>
        <w:spacing w:after="0" w:line="156" w:lineRule="exact"/>
        <w:rPr>
          <w:sz w:val="20"/>
          <w:szCs w:val="20"/>
          <w:color w:val="auto"/>
        </w:rPr>
      </w:pPr>
    </w:p>
    <w:p>
      <w:pPr>
        <w:ind w:left="1125" w:hanging="564"/>
        <w:spacing w:after="0"/>
        <w:tabs>
          <w:tab w:leader="none" w:pos="1125" w:val="left"/>
        </w:tabs>
        <w:numPr>
          <w:ilvl w:val="1"/>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TAX CONSEQUENCES</w:t>
      </w:r>
      <w:r>
        <w:rPr>
          <w:rFonts w:ascii="Times New Roman" w:cs="Times New Roman" w:eastAsia="Times New Roman" w:hAnsi="Times New Roman"/>
          <w:sz w:val="16"/>
          <w:szCs w:val="16"/>
          <w:b w:val="1"/>
          <w:bCs w:val="1"/>
          <w:color w:val="auto"/>
        </w:rPr>
        <w:t>.</w:t>
      </w:r>
    </w:p>
    <w:p>
      <w:pPr>
        <w:spacing w:after="0" w:line="189" w:lineRule="exact"/>
        <w:rPr>
          <w:rFonts w:ascii="Times New Roman" w:cs="Times New Roman" w:eastAsia="Times New Roman" w:hAnsi="Times New Roman"/>
          <w:sz w:val="16"/>
          <w:szCs w:val="16"/>
          <w:color w:val="auto"/>
        </w:rPr>
      </w:pPr>
    </w:p>
    <w:p>
      <w:pPr>
        <w:ind w:left="112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2.1</w:t>
      </w:r>
      <w:r>
        <w:rPr>
          <w:rFonts w:ascii="Times New Roman" w:cs="Times New Roman" w:eastAsia="Times New Roman" w:hAnsi="Times New Roman"/>
          <w:sz w:val="14"/>
          <w:szCs w:val="14"/>
          <w:b w:val="1"/>
          <w:bCs w:val="1"/>
          <w:color w:val="auto"/>
        </w:rPr>
        <w:t>Tax Status of Option</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This Option is intended to have the tax status designated in the Grant Notice.</w:t>
      </w:r>
    </w:p>
    <w:p>
      <w:pPr>
        <w:spacing w:after="0" w:line="189" w:lineRule="exact"/>
        <w:rPr>
          <w:rFonts w:ascii="Times New Roman" w:cs="Times New Roman" w:eastAsia="Times New Roman" w:hAnsi="Times New Roman"/>
          <w:sz w:val="16"/>
          <w:szCs w:val="16"/>
          <w:color w:val="auto"/>
        </w:rPr>
      </w:pPr>
    </w:p>
    <w:p>
      <w:pPr>
        <w:jc w:val="both"/>
        <w:ind w:left="5" w:firstLine="1675"/>
        <w:spacing w:after="0" w:line="283" w:lineRule="auto"/>
        <w:tabs>
          <w:tab w:leader="none" w:pos="2243" w:val="left"/>
        </w:tabs>
        <w:numPr>
          <w:ilvl w:val="2"/>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Incentive Stock Option</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If the Grant Notice so designates, this Option is intended to be an Incentive Stock Option within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meaning of Section 422(b) of the Code, but the Company does not represent or warrant that this Option qualifies as such. The Participant should consult with the Participant’s own tax advisor regarding the tax effects of this Option and the requirements necessary to obtain favorable income tax treatment under Section 422 of the Code, including, but not limited to, holding period requirements. (NOTE TO PARTICIPANT: If the Option is exercised more than three (3) months after the date on which you cease to be an Employee (other than by reason of your death or permanent and total disability as defined in Section 22(e)</w:t>
      </w:r>
    </w:p>
    <w:p>
      <w:pPr>
        <w:spacing w:after="0" w:line="2" w:lineRule="exact"/>
        <w:rPr>
          <w:rFonts w:ascii="Times New Roman" w:cs="Times New Roman" w:eastAsia="Times New Roman" w:hAnsi="Times New Roman"/>
          <w:sz w:val="14"/>
          <w:szCs w:val="14"/>
          <w:color w:val="auto"/>
        </w:rPr>
      </w:pPr>
    </w:p>
    <w:p>
      <w:pPr>
        <w:ind w:left="5" w:right="20" w:hanging="5"/>
        <w:spacing w:after="0" w:line="247" w:lineRule="auto"/>
        <w:tabs>
          <w:tab w:leader="none" w:pos="232"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Code), the Option will be treated as a Nonstatutory Stock Option and not as an Incentive Stock Option to the extent required by Section 422 of the Code.)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308610</wp:posOffset>
            </wp:positionV>
            <wp:extent cx="6306185" cy="222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306185" cy="22225"/>
                    </a:xfrm>
                    <a:prstGeom prst="rect">
                      <a:avLst/>
                    </a:prstGeom>
                    <a:noFill/>
                  </pic:spPr>
                </pic:pic>
              </a:graphicData>
            </a:graphic>
          </wp:anchor>
        </w:drawing>
      </w:r>
    </w:p>
    <w:p>
      <w:pPr>
        <w:sectPr>
          <w:pgSz w:w="11900" w:h="16838" w:orient="portrait"/>
          <w:cols w:equalWidth="0" w:num="1">
            <w:col w:w="9945"/>
          </w:cols>
          <w:pgMar w:left="975" w:top="121" w:right="979" w:bottom="1440" w:gutter="0" w:footer="0" w:header="0"/>
        </w:sectPr>
      </w:pPr>
    </w:p>
    <w:bookmarkStart w:id="61" w:name="page62"/>
    <w:bookmarkEnd w:id="61"/>
    <w:p>
      <w:pPr>
        <w:ind w:right="20" w:firstLine="1675"/>
        <w:spacing w:after="0" w:line="270" w:lineRule="auto"/>
        <w:tabs>
          <w:tab w:leader="none" w:pos="2239"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Nonstatutory Stock Option. </w:t>
      </w:r>
      <w:r>
        <w:rPr>
          <w:rFonts w:ascii="Times New Roman" w:cs="Times New Roman" w:eastAsia="Times New Roman" w:hAnsi="Times New Roman"/>
          <w:sz w:val="16"/>
          <w:szCs w:val="16"/>
          <w:color w:val="auto"/>
        </w:rPr>
        <w:t>If the Grant Notice so designates, this Option is intended to be a Nonstatutory Stock Option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shall not be treated as an Incentive Stock Option within the meaning of Section 422(b) of the Code.</w:t>
      </w:r>
    </w:p>
    <w:p>
      <w:pPr>
        <w:spacing w:after="0" w:line="146" w:lineRule="exact"/>
        <w:rPr>
          <w:sz w:val="20"/>
          <w:szCs w:val="20"/>
          <w:color w:val="auto"/>
        </w:rPr>
      </w:pPr>
    </w:p>
    <w:p>
      <w:pPr>
        <w:jc w:val="both"/>
        <w:ind w:firstLine="1119"/>
        <w:spacing w:after="0" w:line="245" w:lineRule="auto"/>
        <w:rPr>
          <w:sz w:val="20"/>
          <w:szCs w:val="20"/>
          <w:color w:val="auto"/>
        </w:rPr>
      </w:pPr>
      <w:r>
        <w:rPr>
          <w:rFonts w:ascii="Times New Roman" w:cs="Times New Roman" w:eastAsia="Times New Roman" w:hAnsi="Times New Roman"/>
          <w:sz w:val="16"/>
          <w:szCs w:val="16"/>
          <w:color w:val="auto"/>
        </w:rPr>
        <w:t xml:space="preserve">2.2 </w:t>
      </w:r>
      <w:r>
        <w:rPr>
          <w:rFonts w:ascii="Times New Roman" w:cs="Times New Roman" w:eastAsia="Times New Roman" w:hAnsi="Times New Roman"/>
          <w:sz w:val="16"/>
          <w:szCs w:val="16"/>
          <w:b w:val="1"/>
          <w:bCs w:val="1"/>
          <w:color w:val="auto"/>
        </w:rPr>
        <w:t>ISO Fair Market Value Limitation.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If the Grant Notice designates this Option as an Incentive Stock Option,</w:t>
      </w:r>
      <w:r>
        <w:rPr>
          <w:rFonts w:ascii="Times New Roman" w:cs="Times New Roman" w:eastAsia="Times New Roman" w:hAnsi="Times New Roman"/>
          <w:sz w:val="16"/>
          <w:szCs w:val="16"/>
          <w:color w:val="auto"/>
        </w:rPr>
        <w:t xml:space="preserve"> then to the extent that the Option (together with all Incentive Stock Options granted to the Participant under all stock option plans of the Participating Company Group, including the Plan) becomes exercisable for the first time during any calendar year for shares having a Fair Market Value greater than One Hundred Thousand Dollars ($100,000), the portion of such options which exceeds such amount will be treated as Nonstatutory Stock Options. For purposes of this Section 2.2, options designated as Incentive Stock Options are taken into account in the order in which they were granted, and the Fair Market Value of stock is determined as of the time the option with respect to such stock is granted. If the Code is amended to provide for a different limitation from that set forth in this Section 2.2, such different limitation shall be deemed incorporated herein effective as of the date required or permitted by such amendment to the Code. If the Option is treated as an Incentive Stock Option in part and as a Nonstatutory Stock Option in part by reason of the limitation set forth in this Section 2.2, the Participant may designate which portion of such Option the Participant is exercising. In the absence of such designation, the Participant shall be deemed to have exercised the Incentive Stock Option portion of the Option first. Separate certificates representing each such portion shall be issued upon the exercise of the Option. (NOTE TO PARTICIPANT: If the aggregate Exercise Price of the Option (that is, the Exercise Price multiplied by the Number of Option Shares) plus the aggregate exercise price of any other Incentive Stock Options you hold (whether granted pursuant to the Plan or any other stock option plan of the Participating Company Group) is greater than $100,000, you should contact the Chief Financial Officer of the Company to ascertain whether the entire Option qualifies as an Incentive Stock Option.)</w:t>
      </w:r>
    </w:p>
    <w:p>
      <w:pPr>
        <w:spacing w:after="0" w:line="171" w:lineRule="exact"/>
        <w:rPr>
          <w:sz w:val="20"/>
          <w:szCs w:val="20"/>
          <w:color w:val="auto"/>
        </w:rPr>
      </w:pPr>
    </w:p>
    <w:p>
      <w:pPr>
        <w:ind w:left="1120" w:hanging="564"/>
        <w:spacing w:after="0"/>
        <w:tabs>
          <w:tab w:leader="none" w:pos="112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ADMINISTRATION</w:t>
      </w:r>
      <w:r>
        <w:rPr>
          <w:rFonts w:ascii="Times New Roman" w:cs="Times New Roman" w:eastAsia="Times New Roman" w:hAnsi="Times New Roman"/>
          <w:sz w:val="16"/>
          <w:szCs w:val="16"/>
          <w:b w:val="1"/>
          <w:bCs w:val="1"/>
          <w:color w:val="auto"/>
        </w:rPr>
        <w:t>.</w:t>
      </w:r>
    </w:p>
    <w:p>
      <w:pPr>
        <w:spacing w:after="0" w:line="191" w:lineRule="exact"/>
        <w:rPr>
          <w:sz w:val="20"/>
          <w:szCs w:val="20"/>
          <w:color w:val="auto"/>
        </w:rPr>
      </w:pPr>
    </w:p>
    <w:p>
      <w:pPr>
        <w:jc w:val="both"/>
        <w:ind w:firstLine="1119"/>
        <w:spacing w:after="0" w:line="247" w:lineRule="auto"/>
        <w:rPr>
          <w:sz w:val="20"/>
          <w:szCs w:val="20"/>
          <w:color w:val="auto"/>
        </w:rPr>
      </w:pPr>
      <w:r>
        <w:rPr>
          <w:rFonts w:ascii="Times New Roman" w:cs="Times New Roman" w:eastAsia="Times New Roman" w:hAnsi="Times New Roman"/>
          <w:sz w:val="16"/>
          <w:szCs w:val="16"/>
          <w:color w:val="auto"/>
        </w:rPr>
        <w:t>All questions of interpretation concerning the Grant Notice, this Option Agreement, the Plan or any other form of agreement or other document employed by the Company in the administration of the Plan or the Option shall be determined by the Committee. All such determinations by the Committee shall be final, binding and conclusive upon all persons having an interest in the Option, unless fraudulent or made in bad faith. Any and all actions, decisions and determinations taken or made by the Committee in the exercise of its discretion pursuant to the Plan or the Option or other agreement thereunder (other than determining questions of interpretation pursuant to the preceding sentence) shall be final, binding and conclusive upon all persons having an interest in the Option. Any Officer shall have the authority to act on behalf of the Company with respect to any matter, right, obligation, or election which is the responsibility of or which is allocated to the Company herein, provided the Officer has apparent authority with respect to such matter, right, obligation, or election.</w:t>
      </w:r>
    </w:p>
    <w:p>
      <w:pPr>
        <w:spacing w:after="0" w:line="164" w:lineRule="exact"/>
        <w:rPr>
          <w:sz w:val="20"/>
          <w:szCs w:val="20"/>
          <w:color w:val="auto"/>
        </w:rPr>
      </w:pPr>
    </w:p>
    <w:p>
      <w:pPr>
        <w:ind w:left="1120" w:hanging="564"/>
        <w:spacing w:after="0"/>
        <w:tabs>
          <w:tab w:leader="none" w:pos="112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EXERCISE OF THE OPTION</w:t>
      </w:r>
      <w:r>
        <w:rPr>
          <w:rFonts w:ascii="Times New Roman" w:cs="Times New Roman" w:eastAsia="Times New Roman" w:hAnsi="Times New Roman"/>
          <w:sz w:val="16"/>
          <w:szCs w:val="16"/>
          <w:b w:val="1"/>
          <w:bCs w:val="1"/>
          <w:color w:val="auto"/>
        </w:rPr>
        <w:t>.</w:t>
      </w:r>
    </w:p>
    <w:p>
      <w:pPr>
        <w:spacing w:after="0" w:line="189" w:lineRule="exact"/>
        <w:rPr>
          <w:sz w:val="20"/>
          <w:szCs w:val="20"/>
          <w:color w:val="auto"/>
        </w:rPr>
      </w:pPr>
    </w:p>
    <w:p>
      <w:pPr>
        <w:ind w:right="20" w:firstLine="1119"/>
        <w:spacing w:after="0" w:line="270" w:lineRule="auto"/>
        <w:rPr>
          <w:sz w:val="20"/>
          <w:szCs w:val="20"/>
          <w:color w:val="auto"/>
        </w:rPr>
      </w:pPr>
      <w:r>
        <w:rPr>
          <w:rFonts w:ascii="Times New Roman" w:cs="Times New Roman" w:eastAsia="Times New Roman" w:hAnsi="Times New Roman"/>
          <w:sz w:val="16"/>
          <w:szCs w:val="16"/>
          <w:color w:val="auto"/>
        </w:rPr>
        <w:t xml:space="preserve">4.1 </w:t>
      </w:r>
      <w:r>
        <w:rPr>
          <w:rFonts w:ascii="Times New Roman" w:cs="Times New Roman" w:eastAsia="Times New Roman" w:hAnsi="Times New Roman"/>
          <w:sz w:val="16"/>
          <w:szCs w:val="16"/>
          <w:b w:val="1"/>
          <w:bCs w:val="1"/>
          <w:color w:val="auto"/>
        </w:rPr>
        <w:t>Right to Exercise</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Except as otherwise provided herein, the Option shall be exercisable on and after the Initial Vesting Date and prior to the termination of the Option (as provided in Section 6) in an amount not to exceed the number of Vested Shares less the number</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308610</wp:posOffset>
            </wp:positionV>
            <wp:extent cx="6306185" cy="222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06185" cy="22225"/>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62" w:name="page63"/>
    <w:bookmarkEnd w:id="62"/>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of shares previously acquired upon exercise of the Option. In no event shall the Option be exercisable for more shares than the Number of Option Shares, as adjusted pursuant to Section 9.</w:t>
      </w:r>
    </w:p>
    <w:p>
      <w:pPr>
        <w:spacing w:after="0" w:line="149" w:lineRule="exact"/>
        <w:rPr>
          <w:sz w:val="20"/>
          <w:szCs w:val="20"/>
          <w:color w:val="auto"/>
        </w:rPr>
      </w:pPr>
    </w:p>
    <w:p>
      <w:pPr>
        <w:jc w:val="both"/>
        <w:ind w:firstLine="1119"/>
        <w:spacing w:after="0" w:line="246" w:lineRule="auto"/>
        <w:rPr>
          <w:sz w:val="20"/>
          <w:szCs w:val="20"/>
          <w:color w:val="auto"/>
        </w:rPr>
      </w:pPr>
      <w:r>
        <w:rPr>
          <w:rFonts w:ascii="Times New Roman" w:cs="Times New Roman" w:eastAsia="Times New Roman" w:hAnsi="Times New Roman"/>
          <w:sz w:val="16"/>
          <w:szCs w:val="16"/>
          <w:color w:val="auto"/>
        </w:rPr>
        <w:t xml:space="preserve">4.2 </w:t>
      </w:r>
      <w:r>
        <w:rPr>
          <w:rFonts w:ascii="Times New Roman" w:cs="Times New Roman" w:eastAsia="Times New Roman" w:hAnsi="Times New Roman"/>
          <w:sz w:val="16"/>
          <w:szCs w:val="16"/>
          <w:b w:val="1"/>
          <w:bCs w:val="1"/>
          <w:color w:val="auto"/>
        </w:rPr>
        <w:t>Method of Exercise</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Exercise of the Option shall be by means of electronic or written notice (the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Exercise Notice</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in a form authorized by the Company. An electronic Exercise Notice must be digitally signed or authenticated by the Participant in such manner as required by the notice and transmitted to the Company or an authorized representative of the Company (including a third-party administrator designated by the Company). In the event that the Participant is not authorized or is unable to provide an electronic Exercise Notice, the Option shall be exercised by a written Exercise Notice addressed to the Company, which shall be signed by the Participant and delivered in person, by certified or registered mail, return receipt requested, by confirmed facsimile transmission, or by such other means as the Company may permit, to the Company, or an authorized representative of the Company (including a third-party administrator designated by the Company). Each Exercise Notice, whether electronic or written, must state the Participant’s election to exercise the Option, the number of whole shares of Stock for which the Option is being exercised and such other representations and agreements as to the Participant’s investment intent with respect to such shares as may be required pursuant to the provisions of this Option Agreement. Further, each Exercise Notice must be received by the Company prior to the termination of the Option as set forth in Section 6 and must be accompanied by full payment of the aggregate Exercise Price for the number of shares of Stock being purchased. The Option shall be deemed to be exercised upon receipt by the Company of such electronic or written Exercise Notice and the aggregate Exercise Price.</w:t>
      </w:r>
    </w:p>
    <w:p>
      <w:pPr>
        <w:spacing w:after="0" w:line="164" w:lineRule="exact"/>
        <w:rPr>
          <w:sz w:val="20"/>
          <w:szCs w:val="20"/>
          <w:color w:val="auto"/>
        </w:rPr>
      </w:pPr>
    </w:p>
    <w:p>
      <w:pPr>
        <w:ind w:left="1120"/>
        <w:spacing w:after="0"/>
        <w:tabs>
          <w:tab w:leader="none" w:pos="1660" w:val="left"/>
        </w:tabs>
        <w:rPr>
          <w:sz w:val="20"/>
          <w:szCs w:val="20"/>
          <w:color w:val="auto"/>
        </w:rPr>
      </w:pPr>
      <w:r>
        <w:rPr>
          <w:rFonts w:ascii="Times New Roman" w:cs="Times New Roman" w:eastAsia="Times New Roman" w:hAnsi="Times New Roman"/>
          <w:sz w:val="16"/>
          <w:szCs w:val="16"/>
          <w:color w:val="auto"/>
        </w:rPr>
        <w:t>4.3</w:t>
      </w:r>
      <w:r>
        <w:rPr>
          <w:sz w:val="20"/>
          <w:szCs w:val="20"/>
          <w:color w:val="auto"/>
        </w:rPr>
        <w:tab/>
      </w:r>
      <w:r>
        <w:rPr>
          <w:rFonts w:ascii="Times New Roman" w:cs="Times New Roman" w:eastAsia="Times New Roman" w:hAnsi="Times New Roman"/>
          <w:sz w:val="14"/>
          <w:szCs w:val="14"/>
          <w:b w:val="1"/>
          <w:bCs w:val="1"/>
          <w:color w:val="auto"/>
        </w:rPr>
        <w:t>Payment of Exercise Price.</w:t>
      </w:r>
    </w:p>
    <w:p>
      <w:pPr>
        <w:spacing w:after="0" w:line="189" w:lineRule="exact"/>
        <w:rPr>
          <w:sz w:val="20"/>
          <w:szCs w:val="20"/>
          <w:color w:val="auto"/>
        </w:rPr>
      </w:pPr>
    </w:p>
    <w:p>
      <w:pPr>
        <w:jc w:val="both"/>
        <w:ind w:right="20" w:firstLine="1675"/>
        <w:spacing w:after="0" w:line="252" w:lineRule="auto"/>
        <w:tabs>
          <w:tab w:leader="none" w:pos="2239"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Forms of Consideration Authorized</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Except as otherwise provided below, payment of the aggregate Exercise Price for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number of shares of Stock for which the Option is being exercised shall be made (i) in cash, by check or in cash equivalent; (ii) if permitted by the Company and subject to the limitations contained in Section 4.3(b), by means of (1) a Cashless Exercise, (2) a Net-Exercise, or (3) a Stock Tender Exercise; or (iii) by any combination of the foregoing.</w:t>
      </w:r>
    </w:p>
    <w:p>
      <w:pPr>
        <w:spacing w:after="0" w:line="160" w:lineRule="exact"/>
        <w:rPr>
          <w:rFonts w:ascii="Times New Roman" w:cs="Times New Roman" w:eastAsia="Times New Roman" w:hAnsi="Times New Roman"/>
          <w:sz w:val="16"/>
          <w:szCs w:val="16"/>
          <w:color w:val="auto"/>
        </w:rPr>
      </w:pPr>
    </w:p>
    <w:p>
      <w:pPr>
        <w:jc w:val="both"/>
        <w:ind w:right="20" w:firstLine="1675"/>
        <w:spacing w:after="0" w:line="257" w:lineRule="auto"/>
        <w:tabs>
          <w:tab w:leader="none" w:pos="2239"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Limitations on Forms of Consideration. </w:t>
      </w:r>
      <w:r>
        <w:rPr>
          <w:rFonts w:ascii="Times New Roman" w:cs="Times New Roman" w:eastAsia="Times New Roman" w:hAnsi="Times New Roman"/>
          <w:sz w:val="16"/>
          <w:szCs w:val="16"/>
          <w:color w:val="auto"/>
        </w:rPr>
        <w:t>The Company reserves, at any and all times, the right, in the Company’s sole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absolute discretion, to establish, decline to approve or terminate any program or procedure providing for payment of the Exercise Price through any of the means described below, including with respect to the Participant notwithstanding that such program or procedures may be available to others.</w:t>
      </w:r>
    </w:p>
    <w:p>
      <w:pPr>
        <w:spacing w:after="0" w:line="155" w:lineRule="exact"/>
        <w:rPr>
          <w:rFonts w:ascii="Times New Roman" w:cs="Times New Roman" w:eastAsia="Times New Roman" w:hAnsi="Times New Roman"/>
          <w:sz w:val="16"/>
          <w:szCs w:val="16"/>
          <w:color w:val="auto"/>
        </w:rPr>
      </w:pPr>
    </w:p>
    <w:p>
      <w:pPr>
        <w:jc w:val="both"/>
        <w:ind w:firstLine="2236"/>
        <w:spacing w:after="0" w:line="250" w:lineRule="auto"/>
        <w:tabs>
          <w:tab w:leader="none" w:pos="2800"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Cashless Exercise. </w:t>
      </w:r>
      <w:r>
        <w:rPr>
          <w:rFonts w:ascii="Times New Roman" w:cs="Times New Roman" w:eastAsia="Times New Roman" w:hAnsi="Times New Roman"/>
          <w:sz w:val="16"/>
          <w:szCs w:val="16"/>
          <w:color w:val="auto"/>
        </w:rPr>
        <w:t>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Cashless Exercise</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means the delivery of a properly executed Exercise Notice together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with irrevocable instructions to a broker in a form acceptable to the Company providing for the assignment to the Company of the proceeds of a sale or loan with respect to shares of Stock acquired upon the exercise of the Option in an amount not less than the aggregate Exercise Price for such shares (including, without limitation, through an exercise complying with the provisions of Regulation T as promulgated from time to time by the Board of Governors of the Federal Reserve System).</w:t>
      </w:r>
    </w:p>
    <w:p>
      <w:pPr>
        <w:spacing w:after="0" w:line="162" w:lineRule="exact"/>
        <w:rPr>
          <w:rFonts w:ascii="Times New Roman" w:cs="Times New Roman" w:eastAsia="Times New Roman" w:hAnsi="Times New Roman"/>
          <w:sz w:val="16"/>
          <w:szCs w:val="16"/>
          <w:color w:val="auto"/>
        </w:rPr>
      </w:pPr>
    </w:p>
    <w:p>
      <w:pPr>
        <w:ind w:left="2800" w:hanging="564"/>
        <w:spacing w:after="0"/>
        <w:tabs>
          <w:tab w:leader="none" w:pos="2800" w:val="left"/>
        </w:tabs>
        <w:numPr>
          <w:ilvl w:val="1"/>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Net-Exercise. </w:t>
      </w:r>
      <w:r>
        <w:rPr>
          <w:rFonts w:ascii="Times New Roman" w:cs="Times New Roman" w:eastAsia="Times New Roman" w:hAnsi="Times New Roman"/>
          <w:sz w:val="14"/>
          <w:szCs w:val="14"/>
          <w:color w:val="auto"/>
        </w:rPr>
        <w:t>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Net-Exercise</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means the delivery of a properly executed Exercise Notice electing a procedure</w:t>
      </w:r>
    </w:p>
    <w:p>
      <w:pPr>
        <w:spacing w:after="0" w:line="4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pursuant to which (1) the Company will</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308610</wp:posOffset>
            </wp:positionV>
            <wp:extent cx="6306185" cy="222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06185" cy="22225"/>
                    </a:xfrm>
                    <a:prstGeom prst="rect">
                      <a:avLst/>
                    </a:prstGeom>
                    <a:noFill/>
                  </pic:spPr>
                </pic:pic>
              </a:graphicData>
            </a:graphic>
          </wp:anchor>
        </w:drawing>
      </w:r>
    </w:p>
    <w:p>
      <w:pPr>
        <w:sectPr>
          <w:pgSz w:w="11900" w:h="16838" w:orient="portrait"/>
          <w:cols w:equalWidth="0" w:num="1">
            <w:col w:w="9940"/>
          </w:cols>
          <w:pgMar w:left="980" w:top="123" w:right="979" w:bottom="1440" w:gutter="0" w:footer="0" w:header="0"/>
        </w:sectPr>
      </w:pPr>
    </w:p>
    <w:bookmarkStart w:id="63" w:name="page64"/>
    <w:bookmarkEnd w:id="63"/>
    <w:p>
      <w:pPr>
        <w:jc w:val="both"/>
        <w:spacing w:after="0" w:line="249" w:lineRule="auto"/>
        <w:rPr>
          <w:sz w:val="20"/>
          <w:szCs w:val="20"/>
          <w:color w:val="auto"/>
        </w:rPr>
      </w:pPr>
      <w:r>
        <w:rPr>
          <w:rFonts w:ascii="Times New Roman" w:cs="Times New Roman" w:eastAsia="Times New Roman" w:hAnsi="Times New Roman"/>
          <w:sz w:val="16"/>
          <w:szCs w:val="16"/>
          <w:color w:val="auto"/>
        </w:rPr>
        <w:t>reduce the number of shares otherwise issuable to the Participant upon the exercise of the Option by the largest whole number of shares having a Fair Market Value that does not exceed the aggregate Exercise Price for the shares with respect to which the Option is exercised, and (2) the Participant shall pay to the Company in cash the remaining balance of such aggregate Exercise Price not satisfied by such reduction in the number of whole shares to be issued. Following a Net- Exercise, the number of shares remaining subject to the Option, if any, shall be reduced by the sum of (1) the net number of shares issued to the Participant upon such exercise, and (2) the number of shares deducted by the Company for payment of the aggregate Exercise Price.</w:t>
      </w:r>
    </w:p>
    <w:p>
      <w:pPr>
        <w:spacing w:after="0" w:line="164" w:lineRule="exact"/>
        <w:rPr>
          <w:sz w:val="20"/>
          <w:szCs w:val="20"/>
          <w:color w:val="auto"/>
        </w:rPr>
      </w:pPr>
    </w:p>
    <w:p>
      <w:pPr>
        <w:jc w:val="both"/>
        <w:ind w:firstLine="2236"/>
        <w:spacing w:after="0" w:line="247" w:lineRule="auto"/>
        <w:tabs>
          <w:tab w:leader="none" w:pos="280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Stock Tender Exercise. </w:t>
      </w:r>
      <w:r>
        <w:rPr>
          <w:rFonts w:ascii="Times New Roman" w:cs="Times New Roman" w:eastAsia="Times New Roman" w:hAnsi="Times New Roman"/>
          <w:sz w:val="16"/>
          <w:szCs w:val="16"/>
          <w:color w:val="auto"/>
        </w:rPr>
        <w:t>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Stock Tender Exercise</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means the delivery of a properly executed Exercise Notice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accompanied by (1) the Participant’s tender to the Company, or attestation to the ownership, in a form acceptable to the Company of whole shares of Stock having a Fair Market Value that does not exceed the aggregate Exercise Price for the shares with respect to which the Option is exercised, and (2) the Participant’s payment to the Company in cash of the remaining balance of such aggregate Exercise Price not satisfied by such shares’ Fair Market Value. A Stock Tender Exercise shall not be permitted if it would constitute a violation of the provisions of any law, regulation or agreement restricting the redemption of the Company’s stock. If required by the Company, the Option may not be exercised by tender to the Company, or attestation to the ownership, of shares of Stock unless such shares either have been owned by the Participant for a period of time required by the Company (and not used for another option exercise by attestation during such period) or were not acquired, directly or indirectly, from the Company.</w:t>
      </w:r>
    </w:p>
    <w:p>
      <w:pPr>
        <w:spacing w:after="0" w:line="166" w:lineRule="exact"/>
        <w:rPr>
          <w:sz w:val="20"/>
          <w:szCs w:val="20"/>
          <w:color w:val="auto"/>
        </w:rPr>
      </w:pPr>
    </w:p>
    <w:p>
      <w:pPr>
        <w:ind w:left="1120"/>
        <w:spacing w:after="0"/>
        <w:tabs>
          <w:tab w:leader="none" w:pos="1660" w:val="left"/>
        </w:tabs>
        <w:rPr>
          <w:sz w:val="20"/>
          <w:szCs w:val="20"/>
          <w:color w:val="auto"/>
        </w:rPr>
      </w:pPr>
      <w:r>
        <w:rPr>
          <w:rFonts w:ascii="Times New Roman" w:cs="Times New Roman" w:eastAsia="Times New Roman" w:hAnsi="Times New Roman"/>
          <w:sz w:val="16"/>
          <w:szCs w:val="16"/>
          <w:color w:val="auto"/>
        </w:rPr>
        <w:t>4.4</w:t>
      </w:r>
      <w:r>
        <w:rPr>
          <w:sz w:val="20"/>
          <w:szCs w:val="20"/>
          <w:color w:val="auto"/>
        </w:rPr>
        <w:tab/>
      </w:r>
      <w:r>
        <w:rPr>
          <w:rFonts w:ascii="Times New Roman" w:cs="Times New Roman" w:eastAsia="Times New Roman" w:hAnsi="Times New Roman"/>
          <w:sz w:val="14"/>
          <w:szCs w:val="14"/>
          <w:b w:val="1"/>
          <w:bCs w:val="1"/>
          <w:color w:val="auto"/>
        </w:rPr>
        <w:t>Tax Withholding</w:t>
      </w:r>
      <w:r>
        <w:rPr>
          <w:rFonts w:ascii="Times New Roman" w:cs="Times New Roman" w:eastAsia="Times New Roman" w:hAnsi="Times New Roman"/>
          <w:sz w:val="14"/>
          <w:szCs w:val="14"/>
          <w:b w:val="1"/>
          <w:bCs w:val="1"/>
          <w:i w:val="1"/>
          <w:iCs w:val="1"/>
          <w:color w:val="auto"/>
        </w:rPr>
        <w:t>.</w:t>
      </w:r>
    </w:p>
    <w:p>
      <w:pPr>
        <w:spacing w:after="0" w:line="189" w:lineRule="exact"/>
        <w:rPr>
          <w:sz w:val="20"/>
          <w:szCs w:val="20"/>
          <w:color w:val="auto"/>
        </w:rPr>
      </w:pPr>
    </w:p>
    <w:p>
      <w:pPr>
        <w:jc w:val="both"/>
        <w:ind w:firstLine="1675"/>
        <w:spacing w:after="0" w:line="248" w:lineRule="auto"/>
        <w:tabs>
          <w:tab w:leader="none" w:pos="2239"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In General. </w:t>
      </w:r>
      <w:r>
        <w:rPr>
          <w:rFonts w:ascii="Times New Roman" w:cs="Times New Roman" w:eastAsia="Times New Roman" w:hAnsi="Times New Roman"/>
          <w:sz w:val="16"/>
          <w:szCs w:val="16"/>
          <w:color w:val="auto"/>
        </w:rPr>
        <w:t>At the time the Option is exercised, in whole or in part, or at any time thereafter as requested by a Participating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Company, the Participant hereby authorizes withholding from payroll and any other amounts payable to the Participant, and otherwise agrees to make adequate provision for (including by means of a Cashless Exercise to the extent permitted by the Company), any sums required to satisfy the federal, state, local and foreign tax (including any social insurance) withholding obligations of the Participating Company Group, if any, which arise in connection with the Option. The Company shall have no obligation to deliver shares of Stock until the tax withholding obligations of the Participating Company Group have been satisfied by the Participant.</w:t>
      </w:r>
    </w:p>
    <w:p>
      <w:pPr>
        <w:spacing w:after="0" w:line="166" w:lineRule="exact"/>
        <w:rPr>
          <w:rFonts w:ascii="Times New Roman" w:cs="Times New Roman" w:eastAsia="Times New Roman" w:hAnsi="Times New Roman"/>
          <w:sz w:val="16"/>
          <w:szCs w:val="16"/>
          <w:color w:val="auto"/>
        </w:rPr>
      </w:pPr>
    </w:p>
    <w:p>
      <w:pPr>
        <w:jc w:val="both"/>
        <w:ind w:firstLine="1675"/>
        <w:spacing w:after="0" w:line="250" w:lineRule="auto"/>
        <w:tabs>
          <w:tab w:leader="none" w:pos="2239"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Withholding in Shares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Company shall have the right, but not the obligation, to require the Participant to satisfy all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any portion of a Participating Company’s tax withholding obligations upon exercise of the Option by deducting from the shares of Stock otherwise issuable to the Participant upon such exercise a number of whole shares having a fair market value, as determined by the Company as of the date of exercise, not in excess of the amount of such tax withholding obligations determined by the applicable minimum statutory withholding rates if required to avoid liability classification of the Option under generally accepted accounting principles in the United States.</w:t>
      </w:r>
    </w:p>
    <w:p>
      <w:pPr>
        <w:spacing w:after="0" w:line="162" w:lineRule="exact"/>
        <w:rPr>
          <w:sz w:val="20"/>
          <w:szCs w:val="20"/>
          <w:color w:val="auto"/>
        </w:rPr>
      </w:pPr>
    </w:p>
    <w:p>
      <w:pPr>
        <w:jc w:val="both"/>
        <w:ind w:right="20" w:firstLine="1119"/>
        <w:spacing w:after="0" w:line="257" w:lineRule="auto"/>
        <w:rPr>
          <w:sz w:val="20"/>
          <w:szCs w:val="20"/>
          <w:color w:val="auto"/>
        </w:rPr>
      </w:pPr>
      <w:r>
        <w:rPr>
          <w:rFonts w:ascii="Times New Roman" w:cs="Times New Roman" w:eastAsia="Times New Roman" w:hAnsi="Times New Roman"/>
          <w:sz w:val="16"/>
          <w:szCs w:val="16"/>
          <w:color w:val="auto"/>
        </w:rPr>
        <w:t xml:space="preserve">4.5 </w:t>
      </w:r>
      <w:r>
        <w:rPr>
          <w:rFonts w:ascii="Times New Roman" w:cs="Times New Roman" w:eastAsia="Times New Roman" w:hAnsi="Times New Roman"/>
          <w:sz w:val="16"/>
          <w:szCs w:val="16"/>
          <w:b w:val="1"/>
          <w:bCs w:val="1"/>
          <w:color w:val="auto"/>
        </w:rPr>
        <w:t>Beneficial Ownership of Shares; Certificate Registration</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The Participant hereby authorizes the Company, in its sole discretion, to deposit for the benefit of the Participant with any broker with which the Participant has an account relationship of which the Company has notice any or all shares acquired by the Participant pursuant to the exercise of the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308610</wp:posOffset>
            </wp:positionV>
            <wp:extent cx="6306185" cy="222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06185" cy="22225"/>
                    </a:xfrm>
                    <a:prstGeom prst="rect">
                      <a:avLst/>
                    </a:prstGeom>
                    <a:noFill/>
                  </pic:spPr>
                </pic:pic>
              </a:graphicData>
            </a:graphic>
          </wp:anchor>
        </w:drawing>
      </w:r>
    </w:p>
    <w:p>
      <w:pPr>
        <w:sectPr>
          <w:pgSz w:w="11900" w:h="16838" w:orient="portrait"/>
          <w:cols w:equalWidth="0" w:num="1">
            <w:col w:w="9940"/>
          </w:cols>
          <w:pgMar w:left="980" w:top="123" w:right="979" w:bottom="1440" w:gutter="0" w:footer="0" w:header="0"/>
        </w:sectPr>
      </w:pPr>
    </w:p>
    <w:bookmarkStart w:id="64" w:name="page65"/>
    <w:bookmarkEnd w:id="64"/>
    <w:p>
      <w:pPr>
        <w:jc w:val="both"/>
        <w:ind w:left="5" w:right="20"/>
        <w:spacing w:after="0" w:line="267" w:lineRule="auto"/>
        <w:rPr>
          <w:sz w:val="20"/>
          <w:szCs w:val="20"/>
          <w:color w:val="auto"/>
        </w:rPr>
      </w:pPr>
      <w:r>
        <w:rPr>
          <w:rFonts w:ascii="Times New Roman" w:cs="Times New Roman" w:eastAsia="Times New Roman" w:hAnsi="Times New Roman"/>
          <w:sz w:val="16"/>
          <w:szCs w:val="16"/>
          <w:color w:val="auto"/>
        </w:rPr>
        <w:t>Option. Except as provided by the preceding sentence, a certificate for the shares as to which the Option is exercised shall be registered in the name of the Participant, or, if applicable, in the names of the heirs of the Participant.</w:t>
      </w:r>
    </w:p>
    <w:p>
      <w:pPr>
        <w:spacing w:after="0" w:line="149" w:lineRule="exact"/>
        <w:rPr>
          <w:sz w:val="20"/>
          <w:szCs w:val="20"/>
          <w:color w:val="auto"/>
        </w:rPr>
      </w:pPr>
    </w:p>
    <w:p>
      <w:pPr>
        <w:jc w:val="both"/>
        <w:ind w:left="5" w:firstLine="1119"/>
        <w:spacing w:after="0" w:line="246" w:lineRule="auto"/>
        <w:rPr>
          <w:sz w:val="20"/>
          <w:szCs w:val="20"/>
          <w:color w:val="auto"/>
        </w:rPr>
      </w:pPr>
      <w:r>
        <w:rPr>
          <w:rFonts w:ascii="Times New Roman" w:cs="Times New Roman" w:eastAsia="Times New Roman" w:hAnsi="Times New Roman"/>
          <w:sz w:val="16"/>
          <w:szCs w:val="16"/>
          <w:color w:val="auto"/>
        </w:rPr>
        <w:t xml:space="preserve">4.6 </w:t>
      </w:r>
      <w:r>
        <w:rPr>
          <w:rFonts w:ascii="Times New Roman" w:cs="Times New Roman" w:eastAsia="Times New Roman" w:hAnsi="Times New Roman"/>
          <w:sz w:val="16"/>
          <w:szCs w:val="16"/>
          <w:b w:val="1"/>
          <w:bCs w:val="1"/>
          <w:color w:val="auto"/>
        </w:rPr>
        <w:t>Restrictions on Grant of the Option and Issuance of Shares</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The grant of the Option and the issuance of shares of Stock upon exercise of the Option shall be subject to compliance with all applicable requirements of federal, state or foreign law with respect to such securities. The Option may not be exercised if the issuance of shares of Stock upon exercise would constitute a violation of any applicable federal, state or foreign securities laws or other law or regulations or the requirements of any stock exchange or market system upon which the Stock may then be listed. In addition, the Option may not be exercised unless (i) a registration statement under the Securities Act shall at the time of exercise of the Option be in effect with respect to the shares issuable upon exercise of the Option or (ii) in the opinion of legal counsel to the Company, the shares issuable upon exercise of the Option may be issued in accordance with the terms of an applicable exemption from the registration requirements of the Securities Act. THE PARTICIPANT IS CAUTIONED THAT THE OPTION MAY NOT BE EXERCISED UNLESS THE FOREGOING CONDITIONS ARE SATISFIED. ACCORDINGLY, THE PARTICIPANT MAY NOT BE ABLE TO EXERCISE THE OPTION WHEN DESIRED EVEN THOUGH THE</w:t>
      </w:r>
    </w:p>
    <w:p>
      <w:pPr>
        <w:spacing w:after="0" w:line="172" w:lineRule="exact"/>
        <w:rPr>
          <w:sz w:val="20"/>
          <w:szCs w:val="20"/>
          <w:color w:val="auto"/>
        </w:rPr>
      </w:pPr>
    </w:p>
    <w:p>
      <w:pPr>
        <w:jc w:val="both"/>
        <w:ind w:left="5"/>
        <w:spacing w:after="0" w:line="249" w:lineRule="auto"/>
        <w:rPr>
          <w:sz w:val="20"/>
          <w:szCs w:val="20"/>
          <w:color w:val="auto"/>
        </w:rPr>
      </w:pPr>
      <w:r>
        <w:rPr>
          <w:rFonts w:ascii="Times New Roman" w:cs="Times New Roman" w:eastAsia="Times New Roman" w:hAnsi="Times New Roman"/>
          <w:sz w:val="16"/>
          <w:szCs w:val="16"/>
          <w:color w:val="auto"/>
        </w:rPr>
        <w:t>OPTION IS VESTED. The inability of the Company to obtain from any regulatory body having jurisdiction the authority, if any, deemed by the Company’s legal counsel to be necessary to the lawful issuance and sale of any shares subject to the Option shall relieve the Company of any liability in respect of the failure to issue or sell such shares as to which such requisite authority shall not have been obtained. As a condition to the exercise of the Option,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64" w:lineRule="exact"/>
        <w:rPr>
          <w:sz w:val="20"/>
          <w:szCs w:val="20"/>
          <w:color w:val="auto"/>
        </w:rPr>
      </w:pPr>
    </w:p>
    <w:p>
      <w:pPr>
        <w:ind w:left="1125"/>
        <w:spacing w:after="0"/>
        <w:tabs>
          <w:tab w:leader="none" w:pos="1664" w:val="left"/>
        </w:tabs>
        <w:rPr>
          <w:sz w:val="20"/>
          <w:szCs w:val="20"/>
          <w:color w:val="auto"/>
        </w:rPr>
      </w:pPr>
      <w:r>
        <w:rPr>
          <w:rFonts w:ascii="Times New Roman" w:cs="Times New Roman" w:eastAsia="Times New Roman" w:hAnsi="Times New Roman"/>
          <w:sz w:val="16"/>
          <w:szCs w:val="16"/>
          <w:color w:val="auto"/>
        </w:rPr>
        <w:t>4.7</w:t>
      </w:r>
      <w:r>
        <w:rPr>
          <w:sz w:val="20"/>
          <w:szCs w:val="20"/>
          <w:color w:val="auto"/>
        </w:rPr>
        <w:tab/>
      </w:r>
      <w:r>
        <w:rPr>
          <w:rFonts w:ascii="Times New Roman" w:cs="Times New Roman" w:eastAsia="Times New Roman" w:hAnsi="Times New Roman"/>
          <w:sz w:val="14"/>
          <w:szCs w:val="14"/>
          <w:b w:val="1"/>
          <w:bCs w:val="1"/>
          <w:color w:val="auto"/>
        </w:rPr>
        <w:t>Fractional Shares</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Company shall not be required to issue fractional shares upon the exercise of the Option.</w:t>
      </w:r>
    </w:p>
    <w:p>
      <w:pPr>
        <w:spacing w:after="0" w:line="189" w:lineRule="exact"/>
        <w:rPr>
          <w:sz w:val="20"/>
          <w:szCs w:val="20"/>
          <w:color w:val="auto"/>
        </w:rPr>
      </w:pPr>
    </w:p>
    <w:p>
      <w:pPr>
        <w:ind w:left="1125" w:hanging="564"/>
        <w:spacing w:after="0"/>
        <w:tabs>
          <w:tab w:leader="none" w:pos="1125"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NONTRANSFERABILITY OF THE OPTION</w:t>
      </w:r>
      <w:r>
        <w:rPr>
          <w:rFonts w:ascii="Times New Roman" w:cs="Times New Roman" w:eastAsia="Times New Roman" w:hAnsi="Times New Roman"/>
          <w:sz w:val="16"/>
          <w:szCs w:val="16"/>
          <w:b w:val="1"/>
          <w:bCs w:val="1"/>
          <w:color w:val="auto"/>
        </w:rPr>
        <w:t>.</w:t>
      </w:r>
    </w:p>
    <w:p>
      <w:pPr>
        <w:spacing w:after="0" w:line="191" w:lineRule="exact"/>
        <w:rPr>
          <w:sz w:val="20"/>
          <w:szCs w:val="20"/>
          <w:color w:val="auto"/>
        </w:rPr>
      </w:pPr>
    </w:p>
    <w:p>
      <w:pPr>
        <w:jc w:val="both"/>
        <w:ind w:left="5" w:right="20" w:firstLine="1119"/>
        <w:spacing w:after="0" w:line="249" w:lineRule="auto"/>
        <w:rPr>
          <w:sz w:val="20"/>
          <w:szCs w:val="20"/>
          <w:color w:val="auto"/>
        </w:rPr>
      </w:pPr>
      <w:r>
        <w:rPr>
          <w:rFonts w:ascii="Times New Roman" w:cs="Times New Roman" w:eastAsia="Times New Roman" w:hAnsi="Times New Roman"/>
          <w:sz w:val="16"/>
          <w:szCs w:val="16"/>
          <w:color w:val="auto"/>
        </w:rPr>
        <w:t>During the lifetime of the Participant, the Option shall be exercisable only by the Participant or the Participant’s guardian or legal representative. The Option shall not be subject in any manner to anticipation, alienation, sale, exchange, transfer, assignment, pledge, encumbrance, or garnishment by creditors of the Participant or the Participant’s beneficiary, except transfer by will or by the laws of descent and distribution. Following the death of the Participant, the Option, to the extent provided in Section 7, may be exercised by the Participant’s legal representative or by any person empowered to do so under the deceased Participant’s will or under the then applicable laws of descent and distribution.</w:t>
      </w:r>
    </w:p>
    <w:p>
      <w:pPr>
        <w:spacing w:after="0" w:line="164" w:lineRule="exact"/>
        <w:rPr>
          <w:sz w:val="20"/>
          <w:szCs w:val="20"/>
          <w:color w:val="auto"/>
        </w:rPr>
      </w:pPr>
    </w:p>
    <w:p>
      <w:pPr>
        <w:ind w:left="1125" w:hanging="564"/>
        <w:spacing w:after="0"/>
        <w:tabs>
          <w:tab w:leader="none" w:pos="1125" w:val="left"/>
        </w:tabs>
        <w:numPr>
          <w:ilvl w:val="1"/>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TERMINATION OF THE OPTION</w:t>
      </w:r>
      <w:r>
        <w:rPr>
          <w:rFonts w:ascii="Times New Roman" w:cs="Times New Roman" w:eastAsia="Times New Roman" w:hAnsi="Times New Roman"/>
          <w:sz w:val="16"/>
          <w:szCs w:val="16"/>
          <w:b w:val="1"/>
          <w:bCs w:val="1"/>
          <w:color w:val="auto"/>
        </w:rPr>
        <w:t>.</w:t>
      </w:r>
    </w:p>
    <w:p>
      <w:pPr>
        <w:spacing w:after="0" w:line="191" w:lineRule="exact"/>
        <w:rPr>
          <w:rFonts w:ascii="Times New Roman" w:cs="Times New Roman" w:eastAsia="Times New Roman" w:hAnsi="Times New Roman"/>
          <w:sz w:val="16"/>
          <w:szCs w:val="16"/>
          <w:color w:val="auto"/>
        </w:rPr>
      </w:pPr>
    </w:p>
    <w:p>
      <w:pPr>
        <w:ind w:left="112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The Option shall terminate and may no longer be exercised after the first to occur of (a) the close of business on the Option Expiration Date,</w:t>
      </w:r>
    </w:p>
    <w:p>
      <w:pPr>
        <w:spacing w:after="0" w:line="41" w:lineRule="exact"/>
        <w:rPr>
          <w:rFonts w:ascii="Times New Roman" w:cs="Times New Roman" w:eastAsia="Times New Roman" w:hAnsi="Times New Roman"/>
          <w:sz w:val="16"/>
          <w:szCs w:val="16"/>
          <w:color w:val="auto"/>
        </w:rPr>
      </w:pPr>
    </w:p>
    <w:p>
      <w:pPr>
        <w:ind w:left="5" w:right="20" w:hanging="5"/>
        <w:spacing w:after="0" w:line="247" w:lineRule="auto"/>
        <w:tabs>
          <w:tab w:leader="none" w:pos="229"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close of business on the last date for exercising the Option following termination of the Participant’s Service as described in Section 7, or (c) a Change in Control to the extent provided in Section 8.</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308610</wp:posOffset>
            </wp:positionV>
            <wp:extent cx="6306185" cy="222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06185" cy="22225"/>
                    </a:xfrm>
                    <a:prstGeom prst="rect">
                      <a:avLst/>
                    </a:prstGeom>
                    <a:noFill/>
                  </pic:spPr>
                </pic:pic>
              </a:graphicData>
            </a:graphic>
          </wp:anchor>
        </w:drawing>
      </w:r>
    </w:p>
    <w:p>
      <w:pPr>
        <w:sectPr>
          <w:pgSz w:w="11900" w:h="16838" w:orient="portrait"/>
          <w:cols w:equalWidth="0" w:num="1">
            <w:col w:w="9945"/>
          </w:cols>
          <w:pgMar w:left="975" w:top="123" w:right="979" w:bottom="1440" w:gutter="0" w:footer="0" w:header="0"/>
        </w:sectPr>
      </w:pPr>
    </w:p>
    <w:bookmarkStart w:id="65" w:name="page66"/>
    <w:bookmarkEnd w:id="65"/>
    <w:p>
      <w:pPr>
        <w:ind w:left="1120" w:hanging="564"/>
        <w:spacing w:after="0"/>
        <w:tabs>
          <w:tab w:leader="none" w:pos="112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EFFECT OF TERMINATION OF SERVICE</w:t>
      </w:r>
      <w:r>
        <w:rPr>
          <w:rFonts w:ascii="Times New Roman" w:cs="Times New Roman" w:eastAsia="Times New Roman" w:hAnsi="Times New Roman"/>
          <w:sz w:val="16"/>
          <w:szCs w:val="16"/>
          <w:b w:val="1"/>
          <w:bCs w:val="1"/>
          <w:color w:val="auto"/>
        </w:rPr>
        <w:t>.</w:t>
      </w:r>
    </w:p>
    <w:p>
      <w:pPr>
        <w:spacing w:after="0" w:line="189" w:lineRule="exact"/>
        <w:rPr>
          <w:sz w:val="20"/>
          <w:szCs w:val="20"/>
          <w:color w:val="auto"/>
        </w:rPr>
      </w:pPr>
    </w:p>
    <w:p>
      <w:pPr>
        <w:jc w:val="both"/>
        <w:ind w:right="20" w:firstLine="1120"/>
        <w:spacing w:after="0" w:line="257" w:lineRule="auto"/>
        <w:rPr>
          <w:sz w:val="20"/>
          <w:szCs w:val="20"/>
          <w:color w:val="auto"/>
        </w:rPr>
      </w:pPr>
      <w:r>
        <w:rPr>
          <w:rFonts w:ascii="Times New Roman" w:cs="Times New Roman" w:eastAsia="Times New Roman" w:hAnsi="Times New Roman"/>
          <w:sz w:val="16"/>
          <w:szCs w:val="16"/>
          <w:color w:val="auto"/>
        </w:rPr>
        <w:t xml:space="preserve">7.1 </w:t>
      </w:r>
      <w:r>
        <w:rPr>
          <w:rFonts w:ascii="Times New Roman" w:cs="Times New Roman" w:eastAsia="Times New Roman" w:hAnsi="Times New Roman"/>
          <w:sz w:val="16"/>
          <w:szCs w:val="16"/>
          <w:b w:val="1"/>
          <w:bCs w:val="1"/>
          <w:color w:val="auto"/>
        </w:rPr>
        <w:t>Option Exercisability.</w:t>
      </w:r>
      <w:r>
        <w:rPr>
          <w:rFonts w:ascii="Times New Roman" w:cs="Times New Roman" w:eastAsia="Times New Roman" w:hAnsi="Times New Roman"/>
          <w:sz w:val="16"/>
          <w:szCs w:val="16"/>
          <w:color w:val="auto"/>
        </w:rPr>
        <w:t xml:space="preserve"> The Option shall terminate immediately upon the Participant’s termination of Service to the extent that it is then unvested and shall be exercisable after the Participant’s termination of Service to the extent it is then vested only during the applicable time period as determined below and thereafter shall terminate.</w:t>
      </w:r>
    </w:p>
    <w:p>
      <w:pPr>
        <w:spacing w:after="0" w:line="156" w:lineRule="exact"/>
        <w:rPr>
          <w:sz w:val="20"/>
          <w:szCs w:val="20"/>
          <w:color w:val="auto"/>
        </w:rPr>
      </w:pPr>
    </w:p>
    <w:p>
      <w:pPr>
        <w:jc w:val="both"/>
        <w:ind w:right="20" w:firstLine="1676"/>
        <w:spacing w:after="0" w:line="252" w:lineRule="auto"/>
        <w:tabs>
          <w:tab w:leader="none" w:pos="2239"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Disability</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If the Participant’s Service terminates because of the Disability of the Participant, the Option, to the extent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unexercised and exercisable for Vested Shares on the date on which the Participant’s Service terminated, may be exercised by the Participant (or the Participant’s guardian or legal representative) at any time prior to the expiration of twelve (12) months after the date on which the Participant’s Service terminated, but in any event no later than the Option Expiration Date.</w:t>
      </w:r>
    </w:p>
    <w:p>
      <w:pPr>
        <w:spacing w:after="0" w:line="160" w:lineRule="exact"/>
        <w:rPr>
          <w:rFonts w:ascii="Times New Roman" w:cs="Times New Roman" w:eastAsia="Times New Roman" w:hAnsi="Times New Roman"/>
          <w:sz w:val="16"/>
          <w:szCs w:val="16"/>
          <w:color w:val="auto"/>
        </w:rPr>
      </w:pPr>
    </w:p>
    <w:p>
      <w:pPr>
        <w:jc w:val="both"/>
        <w:ind w:firstLine="1676"/>
        <w:spacing w:after="0" w:line="294" w:lineRule="auto"/>
        <w:tabs>
          <w:tab w:leader="none" w:pos="2239"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Death</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If the Participant’s Service terminates because of the death of the Participant, the Option, to the extent unexercised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and exercisable for Vested Shares on the date on which the Participant’s Service terminated, may be exercised by the Participant’s legal representative or other person who acquired the right to exercise the Option by reason of the Participant’s death at any time prior to the expiration of twelve (12) months after the date on which the Participant’s Service terminated, but in any event no later than the Option Expiration Date. The Participant’s Service shall be deemed to have terminated on account of death if the Participant dies within three (3) months after the Participant’s termination of Service.</w:t>
      </w:r>
    </w:p>
    <w:p>
      <w:pPr>
        <w:spacing w:after="0" w:line="134" w:lineRule="exact"/>
        <w:rPr>
          <w:rFonts w:ascii="Times New Roman" w:cs="Times New Roman" w:eastAsia="Times New Roman" w:hAnsi="Times New Roman"/>
          <w:sz w:val="14"/>
          <w:szCs w:val="14"/>
          <w:color w:val="auto"/>
        </w:rPr>
      </w:pPr>
    </w:p>
    <w:p>
      <w:pPr>
        <w:jc w:val="both"/>
        <w:ind w:firstLine="1676"/>
        <w:spacing w:after="0" w:line="252" w:lineRule="auto"/>
        <w:tabs>
          <w:tab w:leader="none" w:pos="2239"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Termination for Cause. </w:t>
      </w:r>
      <w:r>
        <w:rPr>
          <w:rFonts w:ascii="Times New Roman" w:cs="Times New Roman" w:eastAsia="Times New Roman" w:hAnsi="Times New Roman"/>
          <w:sz w:val="16"/>
          <w:szCs w:val="16"/>
          <w:color w:val="auto"/>
        </w:rPr>
        <w:t>Notwithstanding any other provision of this Option Agreement to the contrary, if the Participant’s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Service is terminated for Cause or if, following the Participant’s termination of Service and during any period in which the Option otherwise would remain exercisable, the Participant engages in any act that would constitute Cause, the Option shall terminate in its entirety and cease to be exercisable immediately upon such termination of Service or act.</w:t>
      </w:r>
    </w:p>
    <w:p>
      <w:pPr>
        <w:spacing w:after="0" w:line="160" w:lineRule="exact"/>
        <w:rPr>
          <w:rFonts w:ascii="Times New Roman" w:cs="Times New Roman" w:eastAsia="Times New Roman" w:hAnsi="Times New Roman"/>
          <w:sz w:val="16"/>
          <w:szCs w:val="16"/>
          <w:color w:val="auto"/>
        </w:rPr>
      </w:pPr>
    </w:p>
    <w:p>
      <w:pPr>
        <w:jc w:val="both"/>
        <w:ind w:firstLine="1676"/>
        <w:spacing w:after="0" w:line="252" w:lineRule="auto"/>
        <w:tabs>
          <w:tab w:leader="none" w:pos="2239"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Other Termination of Service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If the Participant’s Service terminates for any reason, except Disability, death or Cause,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Option, to the extent unexercised and exercisable for Vested Shares by the Participant on the date on which the Participant’s Service terminated, may be exercised by the Participant at any time prior to the expiration of three (3) months after the date on which the Participant’s Service terminated, but in any event no later than the Option Expiration Date.</w:t>
      </w:r>
    </w:p>
    <w:p>
      <w:pPr>
        <w:spacing w:after="0" w:line="161" w:lineRule="exact"/>
        <w:rPr>
          <w:sz w:val="20"/>
          <w:szCs w:val="20"/>
          <w:color w:val="auto"/>
        </w:rPr>
      </w:pPr>
    </w:p>
    <w:p>
      <w:pPr>
        <w:jc w:val="both"/>
        <w:ind w:right="20" w:firstLine="1120"/>
        <w:spacing w:after="0" w:line="252" w:lineRule="auto"/>
        <w:rPr>
          <w:sz w:val="20"/>
          <w:szCs w:val="20"/>
          <w:color w:val="auto"/>
        </w:rPr>
      </w:pPr>
      <w:r>
        <w:rPr>
          <w:rFonts w:ascii="Times New Roman" w:cs="Times New Roman" w:eastAsia="Times New Roman" w:hAnsi="Times New Roman"/>
          <w:sz w:val="16"/>
          <w:szCs w:val="16"/>
          <w:color w:val="auto"/>
        </w:rPr>
        <w:t xml:space="preserve">7.2 </w:t>
      </w:r>
      <w:r>
        <w:rPr>
          <w:rFonts w:ascii="Times New Roman" w:cs="Times New Roman" w:eastAsia="Times New Roman" w:hAnsi="Times New Roman"/>
          <w:sz w:val="16"/>
          <w:szCs w:val="16"/>
          <w:b w:val="1"/>
          <w:bCs w:val="1"/>
          <w:color w:val="auto"/>
        </w:rPr>
        <w:t>Extension if Exercise Prevented by Law</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Notwithstanding the foregoing, other than termination of the Participant’s Service for Cause, if the exercise of the Option within the applicable time periods set forth in Section 7.1 is prevented by the provisions of Section 4.6, the Option shall remain exercisable until the later of (a) thirty (30) days after the date such exercise first would no longer be prevented by such provisions, or (b) the end of the applicable time period under Section 7.1, but in any event no later than the Option Expiration Date.</w:t>
      </w:r>
    </w:p>
    <w:p>
      <w:pPr>
        <w:spacing w:after="0" w:line="161" w:lineRule="exact"/>
        <w:rPr>
          <w:sz w:val="20"/>
          <w:szCs w:val="20"/>
          <w:color w:val="auto"/>
        </w:rPr>
      </w:pPr>
    </w:p>
    <w:p>
      <w:pPr>
        <w:ind w:left="1120" w:hanging="564"/>
        <w:spacing w:after="0"/>
        <w:tabs>
          <w:tab w:leader="none" w:pos="112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EFFECT OF CHANGE IN CONTROL</w:t>
      </w:r>
      <w:r>
        <w:rPr>
          <w:rFonts w:ascii="Times New Roman" w:cs="Times New Roman" w:eastAsia="Times New Roman" w:hAnsi="Times New Roman"/>
          <w:sz w:val="16"/>
          <w:szCs w:val="16"/>
          <w:b w:val="1"/>
          <w:bCs w:val="1"/>
          <w:color w:val="auto"/>
        </w:rPr>
        <w:t>.</w:t>
      </w:r>
    </w:p>
    <w:p>
      <w:pPr>
        <w:spacing w:after="0" w:line="191" w:lineRule="exact"/>
        <w:rPr>
          <w:sz w:val="20"/>
          <w:szCs w:val="20"/>
          <w:color w:val="auto"/>
        </w:rPr>
      </w:pPr>
    </w:p>
    <w:p>
      <w:pPr>
        <w:ind w:firstLine="1120"/>
        <w:spacing w:after="0" w:line="267" w:lineRule="auto"/>
        <w:rPr>
          <w:sz w:val="20"/>
          <w:szCs w:val="20"/>
          <w:color w:val="auto"/>
        </w:rPr>
      </w:pPr>
      <w:r>
        <w:rPr>
          <w:rFonts w:ascii="Times New Roman" w:cs="Times New Roman" w:eastAsia="Times New Roman" w:hAnsi="Times New Roman"/>
          <w:sz w:val="16"/>
          <w:szCs w:val="16"/>
          <w:color w:val="auto"/>
        </w:rPr>
        <w:t>In the event of a Change in Control, the Option shall be subject to the definitive agreement entered into by the Company in connection with the Change in Control. Except to the extent that the Committee determines to cash out the Option in accordance with the terms of the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308610</wp:posOffset>
            </wp:positionV>
            <wp:extent cx="6306185" cy="222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06185" cy="22225"/>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66" w:name="page67"/>
    <w:bookmarkEnd w:id="66"/>
    <w:p>
      <w:pPr>
        <w:jc w:val="both"/>
        <w:spacing w:after="0" w:line="246" w:lineRule="auto"/>
        <w:rPr>
          <w:sz w:val="20"/>
          <w:szCs w:val="20"/>
          <w:color w:val="auto"/>
        </w:rPr>
      </w:pPr>
      <w:r>
        <w:rPr>
          <w:rFonts w:ascii="Times New Roman" w:cs="Times New Roman" w:eastAsia="Times New Roman" w:hAnsi="Times New Roman"/>
          <w:sz w:val="16"/>
          <w:szCs w:val="16"/>
          <w:color w:val="auto"/>
        </w:rPr>
        <w:t xml:space="preserve">Plan, the surviving, continuing, successor, or purchasing entity or parent thereof, as the case may be (the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Acquiror</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may, without the consent of the Participant, assume or continue in full force and effect the Company’s rights and obligations under all or any portion of the Option or substitute for all or any portion of the Option a substantially equivalent option for the Acquiror’s stock. For purposes of this Section, the Option or any portion thereof shall be deemed assumed if, following the Change in Control, the Option confers the right to receive, subject to the terms and conditions of the Plan and this Option Agreement, for each share of Stock subject to such portion of the Option immediately prior to the Change in Control, the consideration (whether stock, cash, other securities or property or a combination thereof) to which a holder of a share of Stock on the effective date of the Change in Control was entitled (and if holders were offered a choice of consideration, the type of consideration chosen by the holders of a majority of the outstanding shares of Stock); provided, however, that if such consideration is not solely common stock of the Acquiror, the Committee may, with the consent of the Acquiror, provide for the consideration to be received upon the exercise of the Option, for each share of Stock subject to the Option, to consist solely of common stock of the Acquiror equal in Fair Market Value to the per share consideration received by holders of Stock pursuant to the Change in Control. The Option shall terminate and cease to be outstanding effective as of the time of consummation of the Change in Control to the extent that the Option is neither assumed or continued by the Acquiror in connection with the Change in Control nor exercised as of the time of the Change in Control.</w:t>
      </w:r>
    </w:p>
    <w:p>
      <w:pPr>
        <w:spacing w:after="0" w:line="164" w:lineRule="exact"/>
        <w:rPr>
          <w:sz w:val="20"/>
          <w:szCs w:val="20"/>
          <w:color w:val="auto"/>
        </w:rPr>
      </w:pPr>
    </w:p>
    <w:p>
      <w:pPr>
        <w:ind w:left="1120" w:hanging="564"/>
        <w:spacing w:after="0"/>
        <w:tabs>
          <w:tab w:leader="none" w:pos="112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ADJUSTMENTS FOR CHANGES IN CAPITAL STRUCTURE</w:t>
      </w:r>
      <w:r>
        <w:rPr>
          <w:rFonts w:ascii="Times New Roman" w:cs="Times New Roman" w:eastAsia="Times New Roman" w:hAnsi="Times New Roman"/>
          <w:sz w:val="16"/>
          <w:szCs w:val="16"/>
          <w:b w:val="1"/>
          <w:bCs w:val="1"/>
          <w:color w:val="auto"/>
        </w:rPr>
        <w:t>.</w:t>
      </w:r>
    </w:p>
    <w:p>
      <w:pPr>
        <w:spacing w:after="0" w:line="191" w:lineRule="exact"/>
        <w:rPr>
          <w:sz w:val="20"/>
          <w:szCs w:val="20"/>
          <w:color w:val="auto"/>
        </w:rPr>
      </w:pPr>
    </w:p>
    <w:p>
      <w:pPr>
        <w:jc w:val="both"/>
        <w:ind w:firstLine="1119"/>
        <w:spacing w:after="0" w:line="284" w:lineRule="auto"/>
        <w:rPr>
          <w:sz w:val="20"/>
          <w:szCs w:val="20"/>
          <w:color w:val="auto"/>
        </w:rPr>
      </w:pPr>
      <w:r>
        <w:rPr>
          <w:rFonts w:ascii="Times New Roman" w:cs="Times New Roman" w:eastAsia="Times New Roman" w:hAnsi="Times New Roman"/>
          <w:sz w:val="14"/>
          <w:szCs w:val="14"/>
          <w:color w:val="auto"/>
        </w:rPr>
        <w:t>Subject to any required action by the stockholders of the Company and the requirements of Sections 409A and 424 of the Code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(excepting normal cash dividends) that has a material effect on the Fair Market Value of shares of Stock, appropriate and proportionate adjustments shall be made in the number, Exercise Price and kind of shares subject to the Option, in order to prevent dilution or enlargement of the Participant’s rights under the Option. For purposes of the foregoing, conversion of any convertible securities of the Company shall not be treated as “effected without receipt of consideration by the Company.” Any fractional share resulting from an adjustment pursuant to this Section shall be rounded down to the nearest whole number and the Exercise Price shall be rounded up to the nearest whole cent. In no event may the Exercise Price be decreased to an amount less than the par value, if any, of the stock subject to the Option. The Committee in its sole discretion, may also make such adjustments in the terms of the Option to reflect, or related to, such changes in the capital structure of the Company or distributions as it deems appropriate. All adjustments pursuant to this Section shall be determined by the Committee, and its determination shall be final, binding and conclusive.</w:t>
      </w:r>
    </w:p>
    <w:p>
      <w:pPr>
        <w:spacing w:after="0" w:line="330" w:lineRule="exact"/>
        <w:rPr>
          <w:sz w:val="20"/>
          <w:szCs w:val="20"/>
          <w:color w:val="auto"/>
        </w:rPr>
      </w:pPr>
    </w:p>
    <w:p>
      <w:pPr>
        <w:ind w:left="1120" w:hanging="564"/>
        <w:spacing w:after="0"/>
        <w:tabs>
          <w:tab w:leader="none" w:pos="112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RIGHTS AS A STOCKHOLDER, DIRECTOR, EMPLOYEE OR CONSULTANT</w:t>
      </w:r>
      <w:r>
        <w:rPr>
          <w:rFonts w:ascii="Times New Roman" w:cs="Times New Roman" w:eastAsia="Times New Roman" w:hAnsi="Times New Roman"/>
          <w:sz w:val="16"/>
          <w:szCs w:val="16"/>
          <w:b w:val="1"/>
          <w:bCs w:val="1"/>
          <w:color w:val="auto"/>
        </w:rPr>
        <w:t>.</w:t>
      </w:r>
    </w:p>
    <w:p>
      <w:pPr>
        <w:spacing w:after="0" w:line="191" w:lineRule="exact"/>
        <w:rPr>
          <w:sz w:val="20"/>
          <w:szCs w:val="20"/>
          <w:color w:val="auto"/>
        </w:rPr>
      </w:pPr>
    </w:p>
    <w:p>
      <w:pPr>
        <w:ind w:right="20" w:firstLine="1119"/>
        <w:spacing w:after="0" w:line="267" w:lineRule="auto"/>
        <w:rPr>
          <w:sz w:val="20"/>
          <w:szCs w:val="20"/>
          <w:color w:val="auto"/>
        </w:rPr>
      </w:pPr>
      <w:r>
        <w:rPr>
          <w:rFonts w:ascii="Times New Roman" w:cs="Times New Roman" w:eastAsia="Times New Roman" w:hAnsi="Times New Roman"/>
          <w:sz w:val="16"/>
          <w:szCs w:val="16"/>
          <w:color w:val="auto"/>
        </w:rPr>
        <w:t>The Participant shall have no rights as a stockholder with respect to any shares covered by the Option until the date of the issuance of the shares for which the Option has been exercised (as evidenced by the appropriate entry on the books of the Company or of a duly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308610</wp:posOffset>
            </wp:positionV>
            <wp:extent cx="6306185" cy="222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06185" cy="22225"/>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67" w:name="page68"/>
    <w:bookmarkEnd w:id="67"/>
    <w:p>
      <w:pPr>
        <w:jc w:val="both"/>
        <w:ind w:right="20"/>
        <w:spacing w:after="0" w:line="248" w:lineRule="auto"/>
        <w:rPr>
          <w:sz w:val="20"/>
          <w:szCs w:val="20"/>
          <w:color w:val="auto"/>
        </w:rPr>
      </w:pPr>
      <w:r>
        <w:rPr>
          <w:rFonts w:ascii="Times New Roman" w:cs="Times New Roman" w:eastAsia="Times New Roman" w:hAnsi="Times New Roman"/>
          <w:sz w:val="16"/>
          <w:szCs w:val="16"/>
          <w:color w:val="auto"/>
        </w:rPr>
        <w:t>authorized transfer agent of the Company). No adjustment shall be made for dividends, distributions or other rights for which the record date is prior to the date the shares are issued, except as provided in Section 9. If the Participant is an Employee, the Participant understands and acknowledges that, except as otherwise provided in a separate, written employment agreement between a Participating Company and the Participant, the Participant’s employment is “at will” and is for no specified term. Nothing in this Option Agreement shall confer upon the Participant any right to continue in the Service of a Participating Company or interfere in any way with any right of the Participating Company Group to terminate the Participant’s Service as a Director, an Employee or Consultant, as the case may be, at any time.</w:t>
      </w:r>
    </w:p>
    <w:p>
      <w:pPr>
        <w:spacing w:after="0" w:line="164" w:lineRule="exact"/>
        <w:rPr>
          <w:sz w:val="20"/>
          <w:szCs w:val="20"/>
          <w:color w:val="auto"/>
        </w:rPr>
      </w:pPr>
    </w:p>
    <w:p>
      <w:pPr>
        <w:ind w:left="1120" w:hanging="564"/>
        <w:spacing w:after="0"/>
        <w:tabs>
          <w:tab w:leader="none" w:pos="112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NOTICE OF SALES UPON DISQUALIFYING DISPOSITION</w:t>
      </w:r>
      <w:r>
        <w:rPr>
          <w:rFonts w:ascii="Times New Roman" w:cs="Times New Roman" w:eastAsia="Times New Roman" w:hAnsi="Times New Roman"/>
          <w:sz w:val="16"/>
          <w:szCs w:val="16"/>
          <w:b w:val="1"/>
          <w:bCs w:val="1"/>
          <w:color w:val="auto"/>
        </w:rPr>
        <w:t>.</w:t>
      </w:r>
    </w:p>
    <w:p>
      <w:pPr>
        <w:spacing w:after="0" w:line="191" w:lineRule="exact"/>
        <w:rPr>
          <w:sz w:val="20"/>
          <w:szCs w:val="20"/>
          <w:color w:val="auto"/>
        </w:rPr>
      </w:pPr>
    </w:p>
    <w:p>
      <w:pPr>
        <w:jc w:val="both"/>
        <w:ind w:firstLine="1119"/>
        <w:spacing w:after="0" w:line="285" w:lineRule="auto"/>
        <w:rPr>
          <w:sz w:val="20"/>
          <w:szCs w:val="20"/>
          <w:color w:val="auto"/>
        </w:rPr>
      </w:pPr>
      <w:r>
        <w:rPr>
          <w:rFonts w:ascii="Times New Roman" w:cs="Times New Roman" w:eastAsia="Times New Roman" w:hAnsi="Times New Roman"/>
          <w:sz w:val="14"/>
          <w:szCs w:val="14"/>
          <w:color w:val="auto"/>
        </w:rPr>
        <w:t xml:space="preserve">The Participant shall dispose of the shares acquired pursuant to the Option only in accordance with the provisions of this Option Agreement. In addition, </w:t>
      </w:r>
      <w:r>
        <w:rPr>
          <w:rFonts w:ascii="Times New Roman" w:cs="Times New Roman" w:eastAsia="Times New Roman" w:hAnsi="Times New Roman"/>
          <w:sz w:val="14"/>
          <w:szCs w:val="14"/>
          <w:i w:val="1"/>
          <w:iCs w:val="1"/>
          <w:color w:val="auto"/>
        </w:rPr>
        <w:t>if the Grant Notice designates this Option as an Incentive Stock Option,</w:t>
      </w:r>
      <w:r>
        <w:rPr>
          <w:rFonts w:ascii="Times New Roman" w:cs="Times New Roman" w:eastAsia="Times New Roman" w:hAnsi="Times New Roman"/>
          <w:sz w:val="14"/>
          <w:szCs w:val="14"/>
          <w:color w:val="auto"/>
        </w:rPr>
        <w:t xml:space="preserve"> the Participant shall (a) promptly notify the Chief Financial Officer of the Company if the Participant disposes of any of the shares acquired pursuant to the Option within one (1) year after the date the Participant exercises all or part of the Option or within two (2) years after the Date of Grant and (b) provide the Company with a description of the circumstances of such disposition. Until such time as the Participant disposes of such shares in a manner consistent with the provisions of this Option Agreement, unless otherwise expressly authorized by the Company, the Participant shall hold all shares acquired pursuant to the Option in the Participant’s name (and not in the name of any nominee) for the one- year period immediately after the exercise of the Option and the two-year period immediately after Date of Grant. At any time during the one-year or two-year periods set forth above, the Company may place a legend on any certificate representing shares acquired pursuant to the Option requesting the transfer agent for the Company’s stock to notify the Company of any such transfers. The obligation of the Participant to notify the Company of any such transfer shall continue notwithstanding that a legend has been placed on the certificate pursuant to the preceding sentence.</w:t>
      </w:r>
    </w:p>
    <w:p>
      <w:pPr>
        <w:spacing w:after="0" w:line="331" w:lineRule="exact"/>
        <w:rPr>
          <w:sz w:val="20"/>
          <w:szCs w:val="20"/>
          <w:color w:val="auto"/>
        </w:rPr>
      </w:pPr>
    </w:p>
    <w:p>
      <w:pPr>
        <w:ind w:left="1120" w:hanging="564"/>
        <w:spacing w:after="0"/>
        <w:tabs>
          <w:tab w:leader="none" w:pos="112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LEGENDS</w:t>
      </w:r>
      <w:r>
        <w:rPr>
          <w:rFonts w:ascii="Times New Roman" w:cs="Times New Roman" w:eastAsia="Times New Roman" w:hAnsi="Times New Roman"/>
          <w:sz w:val="16"/>
          <w:szCs w:val="16"/>
          <w:b w:val="1"/>
          <w:bCs w:val="1"/>
          <w:color w:val="auto"/>
        </w:rPr>
        <w:t>.</w:t>
      </w:r>
    </w:p>
    <w:p>
      <w:pPr>
        <w:spacing w:after="0" w:line="191" w:lineRule="exact"/>
        <w:rPr>
          <w:sz w:val="20"/>
          <w:szCs w:val="20"/>
          <w:color w:val="auto"/>
        </w:rPr>
      </w:pPr>
    </w:p>
    <w:p>
      <w:pPr>
        <w:jc w:val="both"/>
        <w:ind w:firstLine="1119"/>
        <w:spacing w:after="0" w:line="299" w:lineRule="auto"/>
        <w:rPr>
          <w:sz w:val="20"/>
          <w:szCs w:val="20"/>
          <w:color w:val="auto"/>
        </w:rPr>
      </w:pPr>
      <w:r>
        <w:rPr>
          <w:rFonts w:ascii="Times New Roman" w:cs="Times New Roman" w:eastAsia="Times New Roman" w:hAnsi="Times New Roman"/>
          <w:sz w:val="14"/>
          <w:szCs w:val="14"/>
          <w:color w:val="auto"/>
        </w:rPr>
        <w:t>The Company may at any time place legends referencing any applicable federal, state or foreign securities law restrictions on all certificates representing shares of stock subject to the provisions of this Option Agreement. The Participant shall, at the request of the Company, promptly present to the Company any and all certificates representing shares acquired pursuant to the Option in the possession of the Participant in order to carry out the provisions of this Section. Unless otherwise specified by the Company, legends placed on such certificates may include, but shall not be limited to, the following:</w:t>
      </w:r>
    </w:p>
    <w:p>
      <w:pPr>
        <w:spacing w:after="0" w:line="131" w:lineRule="exact"/>
        <w:rPr>
          <w:sz w:val="20"/>
          <w:szCs w:val="20"/>
          <w:color w:val="auto"/>
        </w:rPr>
      </w:pPr>
    </w:p>
    <w:p>
      <w:pPr>
        <w:jc w:val="both"/>
        <w:ind w:left="1120" w:right="20"/>
        <w:spacing w:after="0" w:line="248" w:lineRule="auto"/>
        <w:rPr>
          <w:sz w:val="20"/>
          <w:szCs w:val="20"/>
          <w:color w:val="auto"/>
        </w:rPr>
      </w:pPr>
      <w:r>
        <w:rPr>
          <w:rFonts w:ascii="Times New Roman" w:cs="Times New Roman" w:eastAsia="Times New Roman" w:hAnsi="Times New Roman"/>
          <w:sz w:val="16"/>
          <w:szCs w:val="16"/>
          <w:color w:val="auto"/>
        </w:rPr>
        <w:t>“THE SHARES EVIDENCED BY THIS CERTIFICATE WERE ISSUED BY THE CORPORATION TO THE REGISTERED HOLDER UPON EXERCISE OF AN INCENTIVE STOCK OPTION AS DEFINED IN SECTION 422 OF THE INTERNAL REVENUE CODE OF 1986, AS AMENDED (“ISO</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IN ORDER TO OBTAIN THE PREFERENTIAL TAX TREATMENT AFFORDED TO ISOs, THE SHARES SHOULD NOT BE TRANSFERRED PRIOR TO [</w:t>
      </w:r>
      <w:r>
        <w:rPr>
          <w:rFonts w:ascii="Times New Roman" w:cs="Times New Roman" w:eastAsia="Times New Roman" w:hAnsi="Times New Roman"/>
          <w:sz w:val="16"/>
          <w:szCs w:val="16"/>
          <w:i w:val="1"/>
          <w:iCs w:val="1"/>
          <w:color w:val="auto"/>
        </w:rPr>
        <w:t>INSERT DISQUALIFYING DISPOSITION DATE HERE</w:t>
      </w:r>
      <w:r>
        <w:rPr>
          <w:rFonts w:ascii="Times New Roman" w:cs="Times New Roman" w:eastAsia="Times New Roman" w:hAnsi="Times New Roman"/>
          <w:sz w:val="16"/>
          <w:szCs w:val="16"/>
          <w:color w:val="auto"/>
        </w:rPr>
        <w:t>]. SHOULD THE REGISTERED HOLDER ELECT TO TRANSFER ANY OF THE SHARES PRIOR TO THIS DATE AND FOREGO ISO TAX TREATMENT, THE TRANSFER AGENT FOR</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308610</wp:posOffset>
            </wp:positionV>
            <wp:extent cx="6306185" cy="222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06185" cy="22225"/>
                    </a:xfrm>
                    <a:prstGeom prst="rect">
                      <a:avLst/>
                    </a:prstGeom>
                    <a:noFill/>
                  </pic:spPr>
                </pic:pic>
              </a:graphicData>
            </a:graphic>
          </wp:anchor>
        </w:drawing>
      </w:r>
    </w:p>
    <w:p>
      <w:pPr>
        <w:sectPr>
          <w:pgSz w:w="11900" w:h="16838" w:orient="portrait"/>
          <w:cols w:equalWidth="0" w:num="1">
            <w:col w:w="9940"/>
          </w:cols>
          <w:pgMar w:left="980" w:top="123" w:right="979" w:bottom="1440" w:gutter="0" w:footer="0" w:header="0"/>
        </w:sectPr>
      </w:pPr>
    </w:p>
    <w:bookmarkStart w:id="68" w:name="page69"/>
    <w:bookmarkEnd w:id="68"/>
    <w:p>
      <w:pPr>
        <w:jc w:val="both"/>
        <w:ind w:left="1120" w:right="20"/>
        <w:spacing w:after="0" w:line="255" w:lineRule="auto"/>
        <w:rPr>
          <w:sz w:val="20"/>
          <w:szCs w:val="20"/>
          <w:color w:val="auto"/>
        </w:rPr>
      </w:pPr>
      <w:r>
        <w:rPr>
          <w:rFonts w:ascii="Times New Roman" w:cs="Times New Roman" w:eastAsia="Times New Roman" w:hAnsi="Times New Roman"/>
          <w:sz w:val="16"/>
          <w:szCs w:val="16"/>
          <w:color w:val="auto"/>
        </w:rPr>
        <w:t>THE SHARES SHALL NOTIFY THE CORPORATION IMMEDIATELY. THE REGISTERED HOLDER SHALL HOLD ALL SHARES PURCHASED UNDER THE INCENTIVE STOCK OPTION IN THE REGISTERED HOLDER’S NAME (AND NOT IN THE NAME OF ANY NOMINEE) PRIOR TO THIS DATE OR UNTIL TRANSFERRED AS DESCRIBED ABOVE.”</w:t>
      </w:r>
    </w:p>
    <w:p>
      <w:pPr>
        <w:spacing w:after="0" w:line="158" w:lineRule="exact"/>
        <w:rPr>
          <w:sz w:val="20"/>
          <w:szCs w:val="20"/>
          <w:color w:val="auto"/>
        </w:rPr>
      </w:pPr>
    </w:p>
    <w:p>
      <w:pPr>
        <w:ind w:left="1120" w:hanging="564"/>
        <w:spacing w:after="0"/>
        <w:tabs>
          <w:tab w:leader="none" w:pos="112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MISCELLANEOUS PROVISIONS</w:t>
      </w:r>
      <w:r>
        <w:rPr>
          <w:rFonts w:ascii="Times New Roman" w:cs="Times New Roman" w:eastAsia="Times New Roman" w:hAnsi="Times New Roman"/>
          <w:sz w:val="16"/>
          <w:szCs w:val="16"/>
          <w:b w:val="1"/>
          <w:bCs w:val="1"/>
          <w:color w:val="auto"/>
        </w:rPr>
        <w:t>.</w:t>
      </w:r>
    </w:p>
    <w:p>
      <w:pPr>
        <w:spacing w:after="0" w:line="189" w:lineRule="exact"/>
        <w:rPr>
          <w:sz w:val="20"/>
          <w:szCs w:val="20"/>
          <w:color w:val="auto"/>
        </w:rPr>
      </w:pPr>
    </w:p>
    <w:p>
      <w:pPr>
        <w:jc w:val="both"/>
        <w:ind w:firstLine="1119"/>
        <w:spacing w:after="0" w:line="252" w:lineRule="auto"/>
        <w:rPr>
          <w:sz w:val="20"/>
          <w:szCs w:val="20"/>
          <w:color w:val="auto"/>
        </w:rPr>
      </w:pPr>
      <w:r>
        <w:rPr>
          <w:rFonts w:ascii="Times New Roman" w:cs="Times New Roman" w:eastAsia="Times New Roman" w:hAnsi="Times New Roman"/>
          <w:sz w:val="16"/>
          <w:szCs w:val="16"/>
          <w:color w:val="auto"/>
        </w:rPr>
        <w:t xml:space="preserve">13.1 </w:t>
      </w:r>
      <w:r>
        <w:rPr>
          <w:rFonts w:ascii="Times New Roman" w:cs="Times New Roman" w:eastAsia="Times New Roman" w:hAnsi="Times New Roman"/>
          <w:sz w:val="16"/>
          <w:szCs w:val="16"/>
          <w:b w:val="1"/>
          <w:bCs w:val="1"/>
          <w:color w:val="auto"/>
        </w:rPr>
        <w:t>Termination or Amendment.</w:t>
      </w:r>
      <w:r>
        <w:rPr>
          <w:rFonts w:ascii="Times New Roman" w:cs="Times New Roman" w:eastAsia="Times New Roman" w:hAnsi="Times New Roman"/>
          <w:sz w:val="16"/>
          <w:szCs w:val="16"/>
          <w:color w:val="auto"/>
        </w:rPr>
        <w:t xml:space="preserve"> The Committee may terminate or amend the Plan or the Option at any time; provided, however, that except as provided in Section 8 in connection with a Change in Control, no such termination or amendment may have a materially adverse effect on the Option or any unexercised portion thereof without the consent of the Participant unless such termination or amendment is necessary to comply with any applicable law or government regulation. No amendment or addition to this Option Agreement shall be effective unless in writing.</w:t>
      </w:r>
    </w:p>
    <w:p>
      <w:pPr>
        <w:spacing w:after="0" w:line="161" w:lineRule="exact"/>
        <w:rPr>
          <w:sz w:val="20"/>
          <w:szCs w:val="20"/>
          <w:color w:val="auto"/>
        </w:rPr>
      </w:pPr>
    </w:p>
    <w:p>
      <w:pPr>
        <w:jc w:val="both"/>
        <w:ind w:firstLine="1119"/>
        <w:spacing w:after="0" w:line="270" w:lineRule="auto"/>
        <w:rPr>
          <w:sz w:val="20"/>
          <w:szCs w:val="20"/>
          <w:color w:val="auto"/>
        </w:rPr>
      </w:pPr>
      <w:r>
        <w:rPr>
          <w:rFonts w:ascii="Times New Roman" w:cs="Times New Roman" w:eastAsia="Times New Roman" w:hAnsi="Times New Roman"/>
          <w:sz w:val="16"/>
          <w:szCs w:val="16"/>
          <w:color w:val="auto"/>
        </w:rPr>
        <w:t xml:space="preserve">13.2 </w:t>
      </w:r>
      <w:r>
        <w:rPr>
          <w:rFonts w:ascii="Times New Roman" w:cs="Times New Roman" w:eastAsia="Times New Roman" w:hAnsi="Times New Roman"/>
          <w:sz w:val="16"/>
          <w:szCs w:val="16"/>
          <w:b w:val="1"/>
          <w:bCs w:val="1"/>
          <w:color w:val="auto"/>
        </w:rPr>
        <w:t>Further Instruments.</w:t>
      </w:r>
      <w:r>
        <w:rPr>
          <w:rFonts w:ascii="Times New Roman" w:cs="Times New Roman" w:eastAsia="Times New Roman" w:hAnsi="Times New Roman"/>
          <w:sz w:val="16"/>
          <w:szCs w:val="16"/>
          <w:color w:val="auto"/>
        </w:rPr>
        <w:t xml:space="preserve"> The parties hereto agree to execute such further instruments and to take such further action as may reasonably be necessary to carry out the intent of this Option Agreement.</w:t>
      </w:r>
    </w:p>
    <w:p>
      <w:pPr>
        <w:spacing w:after="0" w:line="146" w:lineRule="exact"/>
        <w:rPr>
          <w:sz w:val="20"/>
          <w:szCs w:val="20"/>
          <w:color w:val="auto"/>
        </w:rPr>
      </w:pPr>
    </w:p>
    <w:p>
      <w:pPr>
        <w:jc w:val="both"/>
        <w:ind w:right="20" w:firstLine="1119"/>
        <w:spacing w:after="0" w:line="270" w:lineRule="auto"/>
        <w:rPr>
          <w:sz w:val="20"/>
          <w:szCs w:val="20"/>
          <w:color w:val="auto"/>
        </w:rPr>
      </w:pPr>
      <w:r>
        <w:rPr>
          <w:rFonts w:ascii="Times New Roman" w:cs="Times New Roman" w:eastAsia="Times New Roman" w:hAnsi="Times New Roman"/>
          <w:sz w:val="16"/>
          <w:szCs w:val="16"/>
          <w:color w:val="auto"/>
        </w:rPr>
        <w:t xml:space="preserve">13.3 </w:t>
      </w:r>
      <w:r>
        <w:rPr>
          <w:rFonts w:ascii="Times New Roman" w:cs="Times New Roman" w:eastAsia="Times New Roman" w:hAnsi="Times New Roman"/>
          <w:sz w:val="16"/>
          <w:szCs w:val="16"/>
          <w:b w:val="1"/>
          <w:bCs w:val="1"/>
          <w:color w:val="auto"/>
        </w:rPr>
        <w:t>Binding Effect.</w:t>
      </w:r>
      <w:r>
        <w:rPr>
          <w:rFonts w:ascii="Times New Roman" w:cs="Times New Roman" w:eastAsia="Times New Roman" w:hAnsi="Times New Roman"/>
          <w:sz w:val="16"/>
          <w:szCs w:val="16"/>
          <w:color w:val="auto"/>
        </w:rPr>
        <w:t xml:space="preserve"> This Option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146" w:lineRule="exact"/>
        <w:rPr>
          <w:sz w:val="20"/>
          <w:szCs w:val="20"/>
          <w:color w:val="auto"/>
        </w:rPr>
      </w:pPr>
    </w:p>
    <w:p>
      <w:pPr>
        <w:jc w:val="both"/>
        <w:ind w:right="20" w:firstLine="1119"/>
        <w:spacing w:after="0" w:line="248" w:lineRule="auto"/>
        <w:rPr>
          <w:sz w:val="20"/>
          <w:szCs w:val="20"/>
          <w:color w:val="auto"/>
        </w:rPr>
      </w:pPr>
      <w:r>
        <w:rPr>
          <w:rFonts w:ascii="Times New Roman" w:cs="Times New Roman" w:eastAsia="Times New Roman" w:hAnsi="Times New Roman"/>
          <w:sz w:val="16"/>
          <w:szCs w:val="16"/>
          <w:color w:val="auto"/>
        </w:rPr>
        <w:t xml:space="preserve">13.4 </w:t>
      </w:r>
      <w:r>
        <w:rPr>
          <w:rFonts w:ascii="Times New Roman" w:cs="Times New Roman" w:eastAsia="Times New Roman" w:hAnsi="Times New Roman"/>
          <w:sz w:val="16"/>
          <w:szCs w:val="16"/>
          <w:b w:val="1"/>
          <w:bCs w:val="1"/>
          <w:color w:val="auto"/>
        </w:rPr>
        <w:t>Delivery of Documents and Notices.</w:t>
      </w:r>
      <w:r>
        <w:rPr>
          <w:rFonts w:ascii="Times New Roman" w:cs="Times New Roman" w:eastAsia="Times New Roman" w:hAnsi="Times New Roman"/>
          <w:sz w:val="16"/>
          <w:szCs w:val="16"/>
          <w:color w:val="auto"/>
        </w:rPr>
        <w:t xml:space="preserve"> Any document relating to participation in the Plan or any notice required or permitted hereunder shall be given in writing and shall be deemed effectively given (except to the extent that this Option Agreement provides for effectiveness only upon actual receipt of such notice) upon personal delivery, electronic delivery at the e-mail address, if any, provided for the Participant by a Participating Company, or upon deposit in the U.S. Post Office or foreign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spacing w:after="0" w:line="166" w:lineRule="exact"/>
        <w:rPr>
          <w:sz w:val="20"/>
          <w:szCs w:val="20"/>
          <w:color w:val="auto"/>
        </w:rPr>
      </w:pPr>
    </w:p>
    <w:p>
      <w:pPr>
        <w:jc w:val="both"/>
        <w:ind w:firstLine="1675"/>
        <w:spacing w:after="0" w:line="248" w:lineRule="auto"/>
        <w:tabs>
          <w:tab w:leader="none" w:pos="2239"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Description of Electronic Delivery and Signature. </w:t>
      </w:r>
      <w:r>
        <w:rPr>
          <w:rFonts w:ascii="Times New Roman" w:cs="Times New Roman" w:eastAsia="Times New Roman" w:hAnsi="Times New Roman"/>
          <w:sz w:val="16"/>
          <w:szCs w:val="16"/>
          <w:color w:val="auto"/>
        </w:rPr>
        <w:t>The Plan documents, which may include but do not necessarily include: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Plan, the Grant Notice, this Option Agreement, the Plan Prospectus, and any reports of the Company provided generally to the Company’s stockholders, may be delivered to the Participant electronically. In addition, if permitted by the Company, the Participant may deliver electronically the Grant Notice and Exercise Notice called for by Section 4.2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 Any and all such documents and notices may be electronically signed.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308610</wp:posOffset>
            </wp:positionV>
            <wp:extent cx="6306185" cy="222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06185" cy="22225"/>
                    </a:xfrm>
                    <a:prstGeom prst="rect">
                      <a:avLst/>
                    </a:prstGeom>
                    <a:noFill/>
                  </pic:spPr>
                </pic:pic>
              </a:graphicData>
            </a:graphic>
          </wp:anchor>
        </w:drawing>
      </w:r>
    </w:p>
    <w:p>
      <w:pPr>
        <w:sectPr>
          <w:pgSz w:w="11900" w:h="16838" w:orient="portrait"/>
          <w:cols w:equalWidth="0" w:num="1">
            <w:col w:w="9940"/>
          </w:cols>
          <w:pgMar w:left="980" w:top="123" w:right="979" w:bottom="1440" w:gutter="0" w:footer="0" w:header="0"/>
        </w:sectPr>
      </w:pPr>
    </w:p>
    <w:bookmarkStart w:id="69" w:name="page70"/>
    <w:bookmarkEnd w:id="69"/>
    <w:p>
      <w:pPr>
        <w:jc w:val="both"/>
        <w:ind w:firstLine="1675"/>
        <w:spacing w:after="0" w:line="246" w:lineRule="auto"/>
        <w:tabs>
          <w:tab w:leader="none" w:pos="2239"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Consent to Electronic Delivery and Signature. </w:t>
      </w:r>
      <w:r>
        <w:rPr>
          <w:rFonts w:ascii="Times New Roman" w:cs="Times New Roman" w:eastAsia="Times New Roman" w:hAnsi="Times New Roman"/>
          <w:sz w:val="16"/>
          <w:szCs w:val="16"/>
          <w:color w:val="auto"/>
        </w:rPr>
        <w:t>The Participant acknowledges that the Participant has read Section 13.4(a)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this Option Agreement and consents to the electronic delivery of the Plan documents and, if permitted by the Company, the delivery of the Grant Notice and Exercise Notice, as described in Section 13.4(a). The Participant agrees that any and all such documents requiring a signature may be electronically signed and that such electronic signature shall have the same effect as handwritten signature for the purposes of validity, enforceability and admissibility.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13.4(a) or may change the electronic mail address to which such documents are to be delivered (if the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13.4(a).</w:t>
      </w:r>
    </w:p>
    <w:p>
      <w:pPr>
        <w:spacing w:after="0" w:line="164" w:lineRule="exact"/>
        <w:rPr>
          <w:sz w:val="20"/>
          <w:szCs w:val="20"/>
          <w:color w:val="auto"/>
        </w:rPr>
      </w:pPr>
    </w:p>
    <w:p>
      <w:pPr>
        <w:jc w:val="both"/>
        <w:ind w:firstLine="1119"/>
        <w:spacing w:after="0" w:line="250" w:lineRule="auto"/>
        <w:rPr>
          <w:sz w:val="20"/>
          <w:szCs w:val="20"/>
          <w:color w:val="auto"/>
        </w:rPr>
      </w:pPr>
      <w:r>
        <w:rPr>
          <w:rFonts w:ascii="Times New Roman" w:cs="Times New Roman" w:eastAsia="Times New Roman" w:hAnsi="Times New Roman"/>
          <w:sz w:val="16"/>
          <w:szCs w:val="16"/>
          <w:color w:val="auto"/>
        </w:rPr>
        <w:t xml:space="preserve">13.5 </w:t>
      </w:r>
      <w:r>
        <w:rPr>
          <w:rFonts w:ascii="Times New Roman" w:cs="Times New Roman" w:eastAsia="Times New Roman" w:hAnsi="Times New Roman"/>
          <w:sz w:val="16"/>
          <w:szCs w:val="16"/>
          <w:b w:val="1"/>
          <w:bCs w:val="1"/>
          <w:color w:val="auto"/>
        </w:rPr>
        <w:t>Integrated Agreement.</w:t>
      </w:r>
      <w:r>
        <w:rPr>
          <w:rFonts w:ascii="Times New Roman" w:cs="Times New Roman" w:eastAsia="Times New Roman" w:hAnsi="Times New Roman"/>
          <w:sz w:val="16"/>
          <w:szCs w:val="16"/>
          <w:color w:val="auto"/>
        </w:rPr>
        <w:t xml:space="preserve"> The Grant Notice, this Option Agreement and the Plan, together with the Superseding Agreement, if any, shall constitute the entire understanding and agreement of the Participant and the Participating Company Group with respect to the subject matter contained herein and supersede any prior agreements, understandings, restrictions, representations, or warranties among the Participant and the Participating Company Group with respect to such subject matter. To the extent contemplated herein, the provisions of the Grant Notice, the Option Agreement and the Plan shall survive any exercise of the Option and shall remain in full force and effect.</w:t>
      </w:r>
    </w:p>
    <w:p>
      <w:pPr>
        <w:spacing w:after="0" w:line="162" w:lineRule="exact"/>
        <w:rPr>
          <w:sz w:val="20"/>
          <w:szCs w:val="20"/>
          <w:color w:val="auto"/>
        </w:rPr>
      </w:pPr>
    </w:p>
    <w:p>
      <w:pPr>
        <w:jc w:val="both"/>
        <w:ind w:firstLine="1119"/>
        <w:spacing w:after="0" w:line="270" w:lineRule="auto"/>
        <w:rPr>
          <w:sz w:val="20"/>
          <w:szCs w:val="20"/>
          <w:color w:val="auto"/>
        </w:rPr>
      </w:pPr>
      <w:r>
        <w:rPr>
          <w:rFonts w:ascii="Times New Roman" w:cs="Times New Roman" w:eastAsia="Times New Roman" w:hAnsi="Times New Roman"/>
          <w:sz w:val="16"/>
          <w:szCs w:val="16"/>
          <w:color w:val="auto"/>
        </w:rPr>
        <w:t xml:space="preserve">13.6 </w:t>
      </w:r>
      <w:r>
        <w:rPr>
          <w:rFonts w:ascii="Times New Roman" w:cs="Times New Roman" w:eastAsia="Times New Roman" w:hAnsi="Times New Roman"/>
          <w:sz w:val="16"/>
          <w:szCs w:val="16"/>
          <w:b w:val="1"/>
          <w:bCs w:val="1"/>
          <w:color w:val="auto"/>
        </w:rPr>
        <w:t>Applicable Law.</w:t>
      </w:r>
      <w:r>
        <w:rPr>
          <w:rFonts w:ascii="Times New Roman" w:cs="Times New Roman" w:eastAsia="Times New Roman" w:hAnsi="Times New Roman"/>
          <w:sz w:val="16"/>
          <w:szCs w:val="16"/>
          <w:color w:val="auto"/>
        </w:rPr>
        <w:t xml:space="preserve"> This Option Agreement shall be governed by the laws of the State of Delaware as such laws are applied to agreements between Delaware residents entered into and to be performed entirely within the State of Delaware.</w:t>
      </w:r>
    </w:p>
    <w:p>
      <w:pPr>
        <w:spacing w:after="0" w:line="146" w:lineRule="exact"/>
        <w:rPr>
          <w:sz w:val="20"/>
          <w:szCs w:val="20"/>
          <w:color w:val="auto"/>
        </w:rPr>
      </w:pPr>
    </w:p>
    <w:p>
      <w:pPr>
        <w:jc w:val="both"/>
        <w:ind w:right="20" w:firstLine="1119"/>
        <w:spacing w:after="0" w:line="270" w:lineRule="auto"/>
        <w:rPr>
          <w:sz w:val="20"/>
          <w:szCs w:val="20"/>
          <w:color w:val="auto"/>
        </w:rPr>
      </w:pPr>
      <w:r>
        <w:rPr>
          <w:rFonts w:ascii="Times New Roman" w:cs="Times New Roman" w:eastAsia="Times New Roman" w:hAnsi="Times New Roman"/>
          <w:sz w:val="16"/>
          <w:szCs w:val="16"/>
          <w:color w:val="auto"/>
        </w:rPr>
        <w:t xml:space="preserve">13.7 </w:t>
      </w:r>
      <w:r>
        <w:rPr>
          <w:rFonts w:ascii="Times New Roman" w:cs="Times New Roman" w:eastAsia="Times New Roman" w:hAnsi="Times New Roman"/>
          <w:sz w:val="16"/>
          <w:szCs w:val="16"/>
          <w:b w:val="1"/>
          <w:bCs w:val="1"/>
          <w:color w:val="auto"/>
        </w:rPr>
        <w:t>Counterparts.</w:t>
      </w:r>
      <w:r>
        <w:rPr>
          <w:rFonts w:ascii="Times New Roman" w:cs="Times New Roman" w:eastAsia="Times New Roman" w:hAnsi="Times New Roman"/>
          <w:sz w:val="16"/>
          <w:szCs w:val="16"/>
          <w:color w:val="auto"/>
        </w:rPr>
        <w:t xml:space="preserve"> The Grant Notice may be executed in counterparts, each of which shall be deemed an original, but all of which together shall constitute one and the same instrument.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308610</wp:posOffset>
            </wp:positionV>
            <wp:extent cx="6306185" cy="222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06185" cy="22225"/>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6"/>
          <w:szCs w:val="16"/>
          <w:b w:val="1"/>
          <w:bCs w:val="1"/>
          <w:color w:val="auto"/>
        </w:rPr>
        <w:t>EXHIBIT 10.4</w:t>
      </w:r>
    </w:p>
    <w:p>
      <w:pPr>
        <w:spacing w:after="0" w:line="18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6"/>
          <w:szCs w:val="16"/>
          <w:b w:val="1"/>
          <w:bCs w:val="1"/>
          <w:color w:val="auto"/>
        </w:rPr>
        <w:t>BINAH CAPITAL GROUP, INC.</w:t>
      </w:r>
    </w:p>
    <w:p>
      <w:pPr>
        <w:spacing w:after="0" w:line="2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6"/>
          <w:szCs w:val="16"/>
          <w:b w:val="1"/>
          <w:bCs w:val="1"/>
          <w:color w:val="auto"/>
        </w:rPr>
        <w:t>NOTICE OF GRANT OF STOCK OPTION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U.S. Participants)</w:t>
      </w:r>
    </w:p>
    <w:p>
      <w:pPr>
        <w:spacing w:after="0" w:line="167"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5"/>
          <w:szCs w:val="15"/>
          <w:color w:val="auto"/>
        </w:rPr>
        <w:t xml:space="preserve">Binah Capital Group, Inc. (the </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has granted to the Participant an option (the </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Option</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to purchase certain shares of Stock pursuant to the Binah Capital Group, Inc. 2024 Equity Incentive Plan (the </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Plan</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Participant:</w:t>
            </w: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0" w:type="dxa"/>
            <w:vAlign w:val="bottom"/>
            <w:gridSpan w:val="3"/>
          </w:tcPr>
          <w:p>
            <w:pPr>
              <w:ind w:left="4720"/>
              <w:spacing w:after="0"/>
              <w:rPr>
                <w:sz w:val="20"/>
                <w:szCs w:val="20"/>
                <w:color w:val="auto"/>
              </w:rPr>
            </w:pPr>
            <w:r>
              <w:rPr>
                <w:rFonts w:ascii="Times New Roman" w:cs="Times New Roman" w:eastAsia="Times New Roman" w:hAnsi="Times New Roman"/>
                <w:sz w:val="15"/>
                <w:szCs w:val="15"/>
                <w:b w:val="1"/>
                <w:bCs w:val="1"/>
                <w:color w:val="auto"/>
              </w:rPr>
              <w:t>Employee ID:</w:t>
            </w:r>
          </w:p>
        </w:tc>
        <w:tc>
          <w:tcPr>
            <w:tcW w:w="0" w:type="dxa"/>
            <w:vAlign w:val="bottom"/>
          </w:tcPr>
          <w:p>
            <w:pPr>
              <w:spacing w:after="0"/>
              <w:rPr>
                <w:sz w:val="1"/>
                <w:szCs w:val="1"/>
                <w:color w:val="auto"/>
              </w:rPr>
            </w:pPr>
          </w:p>
        </w:tc>
      </w:tr>
      <w:tr>
        <w:trPr>
          <w:trHeight w:val="307"/>
        </w:trPr>
        <w:tc>
          <w:tcPr>
            <w:tcW w:w="20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Date of Grant:</w:t>
            </w:r>
          </w:p>
        </w:tc>
        <w:tc>
          <w:tcPr>
            <w:tcW w:w="6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5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20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Number of Option Shares:</w:t>
            </w: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 subject to adjustment as provided by the Option Agreement.</w:t>
            </w: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20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Exercise Price:</w:t>
            </w: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20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Vesting Start Date:</w:t>
            </w:r>
          </w:p>
        </w:tc>
        <w:tc>
          <w:tcPr>
            <w:tcW w:w="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w w:val="96"/>
              </w:rPr>
              <w:t>Date of Grant</w:t>
            </w:r>
          </w:p>
        </w:tc>
        <w:tc>
          <w:tcPr>
            <w:tcW w:w="530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20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Option Expiration Date:</w:t>
            </w:r>
          </w:p>
        </w:tc>
        <w:tc>
          <w:tcPr>
            <w:tcW w:w="612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The tenth anniversary of the Date of Grant</w:t>
            </w: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0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Tax Status of Option:</w:t>
            </w:r>
          </w:p>
        </w:tc>
        <w:tc>
          <w:tcPr>
            <w:tcW w:w="612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Nonstatutory Stock Option.</w:t>
            </w: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20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Vested Shares:</w:t>
            </w:r>
          </w:p>
        </w:tc>
        <w:tc>
          <w:tcPr>
            <w:tcW w:w="7840" w:type="dxa"/>
            <w:vAlign w:val="bottom"/>
            <w:gridSpan w:val="6"/>
          </w:tcPr>
          <w:p>
            <w:pPr>
              <w:spacing w:after="0"/>
              <w:rPr>
                <w:sz w:val="20"/>
                <w:szCs w:val="20"/>
                <w:color w:val="auto"/>
              </w:rPr>
            </w:pPr>
            <w:r>
              <w:rPr>
                <w:rFonts w:ascii="Times New Roman" w:cs="Times New Roman" w:eastAsia="Times New Roman" w:hAnsi="Times New Roman"/>
                <w:sz w:val="15"/>
                <w:szCs w:val="15"/>
                <w:color w:val="auto"/>
                <w:w w:val="99"/>
              </w:rPr>
              <w:t>Except as provided in the Option Agreement and provided the Participant’s Service has not terminated prior to the applicable date,</w:t>
            </w:r>
          </w:p>
        </w:tc>
        <w:tc>
          <w:tcPr>
            <w:tcW w:w="0" w:type="dxa"/>
            <w:vAlign w:val="bottom"/>
          </w:tcPr>
          <w:p>
            <w:pPr>
              <w:spacing w:after="0"/>
              <w:rPr>
                <w:sz w:val="1"/>
                <w:szCs w:val="1"/>
                <w:color w:val="auto"/>
              </w:rPr>
            </w:pPr>
          </w:p>
        </w:tc>
      </w:tr>
      <w:tr>
        <w:trPr>
          <w:trHeight w:val="171"/>
        </w:trPr>
        <w:tc>
          <w:tcPr>
            <w:tcW w:w="2080" w:type="dxa"/>
            <w:vAlign w:val="bottom"/>
          </w:tcPr>
          <w:p>
            <w:pPr>
              <w:spacing w:after="0"/>
              <w:rPr>
                <w:sz w:val="14"/>
                <w:szCs w:val="14"/>
                <w:color w:val="auto"/>
              </w:rPr>
            </w:pPr>
          </w:p>
        </w:tc>
        <w:tc>
          <w:tcPr>
            <w:tcW w:w="7840" w:type="dxa"/>
            <w:vAlign w:val="bottom"/>
            <w:gridSpan w:val="6"/>
          </w:tcPr>
          <w:p>
            <w:pPr>
              <w:spacing w:after="0" w:line="171" w:lineRule="exact"/>
              <w:rPr>
                <w:sz w:val="20"/>
                <w:szCs w:val="20"/>
                <w:color w:val="auto"/>
              </w:rPr>
            </w:pPr>
            <w:r>
              <w:rPr>
                <w:rFonts w:ascii="Times New Roman" w:cs="Times New Roman" w:eastAsia="Times New Roman" w:hAnsi="Times New Roman"/>
                <w:sz w:val="15"/>
                <w:szCs w:val="15"/>
                <w:color w:val="auto"/>
                <w:w w:val="98"/>
              </w:rPr>
              <w:t>the number of Vested Shares (disregarding any resulting fractional share) as of any date is determined by multiplying the Number of</w:t>
            </w:r>
          </w:p>
        </w:tc>
        <w:tc>
          <w:tcPr>
            <w:tcW w:w="0" w:type="dxa"/>
            <w:vAlign w:val="bottom"/>
          </w:tcPr>
          <w:p>
            <w:pPr>
              <w:spacing w:after="0"/>
              <w:rPr>
                <w:sz w:val="1"/>
                <w:szCs w:val="1"/>
                <w:color w:val="auto"/>
              </w:rPr>
            </w:pPr>
          </w:p>
        </w:tc>
      </w:tr>
      <w:tr>
        <w:trPr>
          <w:trHeight w:val="196"/>
        </w:trPr>
        <w:tc>
          <w:tcPr>
            <w:tcW w:w="2080" w:type="dxa"/>
            <w:vAlign w:val="bottom"/>
          </w:tcPr>
          <w:p>
            <w:pPr>
              <w:spacing w:after="0"/>
              <w:rPr>
                <w:sz w:val="17"/>
                <w:szCs w:val="17"/>
                <w:color w:val="auto"/>
              </w:rPr>
            </w:pPr>
          </w:p>
        </w:tc>
        <w:tc>
          <w:tcPr>
            <w:tcW w:w="612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 xml:space="preserve">Option Shares by the </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Vested Ratio</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determined as of such date, as follows:</w:t>
            </w:r>
          </w:p>
        </w:tc>
        <w:tc>
          <w:tcPr>
            <w:tcW w:w="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80" w:type="dxa"/>
            <w:vAlign w:val="bottom"/>
          </w:tcPr>
          <w:p>
            <w:pPr>
              <w:spacing w:after="0"/>
              <w:rPr>
                <w:sz w:val="20"/>
                <w:szCs w:val="20"/>
                <w:color w:val="auto"/>
              </w:rPr>
            </w:pPr>
          </w:p>
        </w:tc>
        <w:tc>
          <w:tcPr>
            <w:tcW w:w="6120" w:type="dxa"/>
            <w:vAlign w:val="bottom"/>
            <w:gridSpan w:val="4"/>
            <w:vMerge w:val="restart"/>
          </w:tcPr>
          <w:p>
            <w:pPr>
              <w:spacing w:after="0"/>
              <w:rPr>
                <w:sz w:val="20"/>
                <w:szCs w:val="20"/>
                <w:color w:val="auto"/>
              </w:rPr>
            </w:pPr>
            <w:r>
              <w:rPr>
                <w:rFonts w:ascii="Times New Roman" w:cs="Times New Roman" w:eastAsia="Times New Roman" w:hAnsi="Times New Roman"/>
                <w:sz w:val="15"/>
                <w:szCs w:val="15"/>
                <w:color w:val="auto"/>
              </w:rPr>
              <w:t>Prior to December 31, 2024</w:t>
            </w:r>
          </w:p>
        </w:tc>
        <w:tc>
          <w:tcPr>
            <w:tcW w:w="172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Vested Ratio</w:t>
            </w:r>
          </w:p>
        </w:tc>
        <w:tc>
          <w:tcPr>
            <w:tcW w:w="0" w:type="dxa"/>
            <w:vAlign w:val="bottom"/>
          </w:tcPr>
          <w:p>
            <w:pPr>
              <w:spacing w:after="0"/>
              <w:rPr>
                <w:sz w:val="1"/>
                <w:szCs w:val="1"/>
                <w:color w:val="auto"/>
              </w:rPr>
            </w:pPr>
          </w:p>
        </w:tc>
      </w:tr>
      <w:tr>
        <w:trPr>
          <w:trHeight w:val="184"/>
        </w:trPr>
        <w:tc>
          <w:tcPr>
            <w:tcW w:w="2080" w:type="dxa"/>
            <w:vAlign w:val="bottom"/>
          </w:tcPr>
          <w:p>
            <w:pPr>
              <w:spacing w:after="0"/>
              <w:rPr>
                <w:sz w:val="15"/>
                <w:szCs w:val="15"/>
                <w:color w:val="auto"/>
              </w:rPr>
            </w:pPr>
          </w:p>
        </w:tc>
        <w:tc>
          <w:tcPr>
            <w:tcW w:w="6120" w:type="dxa"/>
            <w:vAlign w:val="bottom"/>
            <w:gridSpan w:val="4"/>
            <w:vMerge w:val="continue"/>
          </w:tcPr>
          <w:p>
            <w:pPr>
              <w:spacing w:after="0"/>
              <w:rPr>
                <w:sz w:val="15"/>
                <w:szCs w:val="15"/>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0</w:t>
            </w:r>
          </w:p>
        </w:tc>
        <w:tc>
          <w:tcPr>
            <w:tcW w:w="0" w:type="dxa"/>
            <w:vAlign w:val="bottom"/>
          </w:tcPr>
          <w:p>
            <w:pPr>
              <w:spacing w:after="0"/>
              <w:rPr>
                <w:sz w:val="1"/>
                <w:szCs w:val="1"/>
                <w:color w:val="auto"/>
              </w:rPr>
            </w:pPr>
          </w:p>
        </w:tc>
      </w:tr>
      <w:tr>
        <w:trPr>
          <w:trHeight w:val="342"/>
        </w:trPr>
        <w:tc>
          <w:tcPr>
            <w:tcW w:w="2080" w:type="dxa"/>
            <w:vAlign w:val="bottom"/>
          </w:tcPr>
          <w:p>
            <w:pPr>
              <w:spacing w:after="0"/>
              <w:rPr>
                <w:sz w:val="24"/>
                <w:szCs w:val="24"/>
                <w:color w:val="auto"/>
              </w:rPr>
            </w:pPr>
          </w:p>
        </w:tc>
        <w:tc>
          <w:tcPr>
            <w:tcW w:w="612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 xml:space="preserve">On December 31, 2024 (the </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Initial Vesting Date</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w:t>
            </w: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1/3</w:t>
            </w:r>
          </w:p>
        </w:tc>
        <w:tc>
          <w:tcPr>
            <w:tcW w:w="0" w:type="dxa"/>
            <w:vAlign w:val="bottom"/>
          </w:tcPr>
          <w:p>
            <w:pPr>
              <w:spacing w:after="0"/>
              <w:rPr>
                <w:sz w:val="1"/>
                <w:szCs w:val="1"/>
                <w:color w:val="auto"/>
              </w:rPr>
            </w:pPr>
          </w:p>
        </w:tc>
      </w:tr>
      <w:tr>
        <w:trPr>
          <w:trHeight w:val="310"/>
        </w:trPr>
        <w:tc>
          <w:tcPr>
            <w:tcW w:w="2080" w:type="dxa"/>
            <w:vAlign w:val="bottom"/>
          </w:tcPr>
          <w:p>
            <w:pPr>
              <w:spacing w:after="0"/>
              <w:rPr>
                <w:sz w:val="24"/>
                <w:szCs w:val="24"/>
                <w:color w:val="auto"/>
              </w:rPr>
            </w:pPr>
          </w:p>
        </w:tc>
        <w:tc>
          <w:tcPr>
            <w:tcW w:w="612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On January 31, 2025, and on the last day of each month thereafter through the second anniversary of</w:t>
            </w: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w w:val="97"/>
              </w:rPr>
              <w:t>1/36</w:t>
            </w:r>
          </w:p>
        </w:tc>
        <w:tc>
          <w:tcPr>
            <w:tcW w:w="0" w:type="dxa"/>
            <w:vAlign w:val="bottom"/>
          </w:tcPr>
          <w:p>
            <w:pPr>
              <w:spacing w:after="0"/>
              <w:rPr>
                <w:sz w:val="1"/>
                <w:szCs w:val="1"/>
                <w:color w:val="auto"/>
              </w:rPr>
            </w:pPr>
          </w:p>
        </w:tc>
      </w:tr>
      <w:tr>
        <w:trPr>
          <w:trHeight w:val="192"/>
        </w:trPr>
        <w:tc>
          <w:tcPr>
            <w:tcW w:w="2080" w:type="dxa"/>
            <w:vAlign w:val="bottom"/>
          </w:tcPr>
          <w:p>
            <w:pPr>
              <w:spacing w:after="0"/>
              <w:rPr>
                <w:sz w:val="16"/>
                <w:szCs w:val="16"/>
                <w:color w:val="auto"/>
              </w:rPr>
            </w:pPr>
          </w:p>
        </w:tc>
        <w:tc>
          <w:tcPr>
            <w:tcW w:w="612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the Initial Vesting Date</w:t>
            </w:r>
          </w:p>
        </w:tc>
        <w:tc>
          <w:tcPr>
            <w:tcW w:w="5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9"/>
        </w:trPr>
        <w:tc>
          <w:tcPr>
            <w:tcW w:w="20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Accelerated Vesting:</w:t>
            </w:r>
          </w:p>
        </w:tc>
        <w:tc>
          <w:tcPr>
            <w:tcW w:w="784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Immediately before and contingent upon a Change in Control (as defined in the Plan), provided the Participant’s Service has not</w:t>
            </w:r>
          </w:p>
        </w:tc>
        <w:tc>
          <w:tcPr>
            <w:tcW w:w="0" w:type="dxa"/>
            <w:vAlign w:val="bottom"/>
          </w:tcPr>
          <w:p>
            <w:pPr>
              <w:spacing w:after="0"/>
              <w:rPr>
                <w:sz w:val="1"/>
                <w:szCs w:val="1"/>
                <w:color w:val="auto"/>
              </w:rPr>
            </w:pPr>
          </w:p>
        </w:tc>
      </w:tr>
      <w:tr>
        <w:trPr>
          <w:trHeight w:val="192"/>
        </w:trPr>
        <w:tc>
          <w:tcPr>
            <w:tcW w:w="2080" w:type="dxa"/>
            <w:vAlign w:val="bottom"/>
          </w:tcPr>
          <w:p>
            <w:pPr>
              <w:spacing w:after="0"/>
              <w:rPr>
                <w:sz w:val="16"/>
                <w:szCs w:val="16"/>
                <w:color w:val="auto"/>
              </w:rPr>
            </w:pPr>
          </w:p>
        </w:tc>
        <w:tc>
          <w:tcPr>
            <w:tcW w:w="784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terminated prior to the applicable date, 100% of the Option Shares that had not yet become exercisable will become exercisable.</w:t>
            </w:r>
          </w:p>
        </w:tc>
        <w:tc>
          <w:tcPr>
            <w:tcW w:w="0" w:type="dxa"/>
            <w:vAlign w:val="bottom"/>
          </w:tcPr>
          <w:p>
            <w:pPr>
              <w:spacing w:after="0"/>
              <w:rPr>
                <w:sz w:val="1"/>
                <w:szCs w:val="1"/>
                <w:color w:val="auto"/>
              </w:rPr>
            </w:pPr>
          </w:p>
        </w:tc>
      </w:tr>
      <w:tr>
        <w:trPr>
          <w:trHeight w:val="380"/>
        </w:trPr>
        <w:tc>
          <w:tcPr>
            <w:tcW w:w="20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Superseding Agreement:</w:t>
            </w:r>
          </w:p>
        </w:tc>
        <w:tc>
          <w:tcPr>
            <w:tcW w:w="784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Employment Agreement between the Company and the Participant dated , as amended from time to time. The Participant hereby</w:t>
            </w:r>
          </w:p>
        </w:tc>
        <w:tc>
          <w:tcPr>
            <w:tcW w:w="0" w:type="dxa"/>
            <w:vAlign w:val="bottom"/>
          </w:tcPr>
          <w:p>
            <w:pPr>
              <w:spacing w:after="0"/>
              <w:rPr>
                <w:sz w:val="1"/>
                <w:szCs w:val="1"/>
                <w:color w:val="auto"/>
              </w:rPr>
            </w:pPr>
          </w:p>
        </w:tc>
      </w:tr>
      <w:tr>
        <w:trPr>
          <w:trHeight w:val="175"/>
        </w:trPr>
        <w:tc>
          <w:tcPr>
            <w:tcW w:w="2080" w:type="dxa"/>
            <w:vAlign w:val="bottom"/>
          </w:tcPr>
          <w:p>
            <w:pPr>
              <w:spacing w:after="0"/>
              <w:rPr>
                <w:sz w:val="15"/>
                <w:szCs w:val="15"/>
                <w:color w:val="auto"/>
              </w:rPr>
            </w:pPr>
          </w:p>
        </w:tc>
        <w:tc>
          <w:tcPr>
            <w:tcW w:w="784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confirms that this Option grant fully satisfied the obligation of the Company to grant the Initial Options as described in such</w:t>
            </w:r>
          </w:p>
        </w:tc>
        <w:tc>
          <w:tcPr>
            <w:tcW w:w="0" w:type="dxa"/>
            <w:vAlign w:val="bottom"/>
          </w:tcPr>
          <w:p>
            <w:pPr>
              <w:spacing w:after="0"/>
              <w:rPr>
                <w:sz w:val="1"/>
                <w:szCs w:val="1"/>
                <w:color w:val="auto"/>
              </w:rPr>
            </w:pPr>
          </w:p>
        </w:tc>
      </w:tr>
      <w:tr>
        <w:trPr>
          <w:trHeight w:val="192"/>
        </w:trPr>
        <w:tc>
          <w:tcPr>
            <w:tcW w:w="2080" w:type="dxa"/>
            <w:vAlign w:val="bottom"/>
          </w:tcPr>
          <w:p>
            <w:pPr>
              <w:spacing w:after="0"/>
              <w:rPr>
                <w:sz w:val="16"/>
                <w:szCs w:val="16"/>
                <w:color w:val="auto"/>
              </w:rPr>
            </w:pPr>
          </w:p>
        </w:tc>
        <w:tc>
          <w:tcPr>
            <w:tcW w:w="612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Employment Agreement.</w:t>
            </w:r>
          </w:p>
        </w:tc>
        <w:tc>
          <w:tcPr>
            <w:tcW w:w="5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4"/>
          <w:szCs w:val="14"/>
          <w:color w:val="auto"/>
        </w:rPr>
        <w:t>By their signatures below or by electronic acceptance or authentication in a form authorized by the Company, the Company and the Participant agree that the Option is governed by this Grant Notice and by the provisions of the Option Agreement and the Plan, both of which are made a part of this document, and by the Superseding Agreement, if any. The Participant acknowledges that copies of the Plan, the Option Agreement and the prospectus for the Plan are available on the Company’s internal web site and may be viewed and printed by the Participant for attachment to the Participant’s copy of this Grant Notice. The Participant represents that the Participant has read and is familiar with the provisions of the Option Agreement and the Plan, and hereby accepts the Option subject to all of their terms and conditions.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BINAH CAPITAL GROUP, INC.</w:t>
            </w:r>
          </w:p>
        </w:tc>
        <w:tc>
          <w:tcPr>
            <w:tcW w:w="4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PARTICIPANT</w:t>
            </w:r>
          </w:p>
        </w:tc>
        <w:tc>
          <w:tcPr>
            <w:tcW w:w="0" w:type="dxa"/>
            <w:vAlign w:val="bottom"/>
          </w:tcPr>
          <w:p>
            <w:pPr>
              <w:spacing w:after="0"/>
              <w:rPr>
                <w:sz w:val="1"/>
                <w:szCs w:val="1"/>
                <w:color w:val="auto"/>
              </w:rPr>
            </w:pPr>
          </w:p>
        </w:tc>
      </w:tr>
      <w:tr>
        <w:trPr>
          <w:trHeight w:val="373"/>
        </w:trPr>
        <w:tc>
          <w:tcPr>
            <w:tcW w:w="1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By:</w:t>
            </w:r>
          </w:p>
        </w:tc>
        <w:tc>
          <w:tcPr>
            <w:tcW w:w="3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4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2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Signature</w:t>
            </w:r>
          </w:p>
        </w:tc>
        <w:tc>
          <w:tcPr>
            <w:tcW w:w="0" w:type="dxa"/>
            <w:vAlign w:val="bottom"/>
          </w:tcPr>
          <w:p>
            <w:pPr>
              <w:spacing w:after="0"/>
              <w:rPr>
                <w:sz w:val="1"/>
                <w:szCs w:val="1"/>
                <w:color w:val="auto"/>
              </w:rPr>
            </w:pPr>
          </w:p>
        </w:tc>
      </w:tr>
      <w:tr>
        <w:trPr>
          <w:trHeight w:val="171"/>
        </w:trPr>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20" w:type="dxa"/>
            <w:vAlign w:val="bottom"/>
            <w:tcBorders>
              <w:bottom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6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Address:  80 State Street</w:t>
            </w:r>
          </w:p>
        </w:tc>
        <w:tc>
          <w:tcPr>
            <w:tcW w:w="3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Date</w:t>
            </w:r>
          </w:p>
        </w:tc>
        <w:tc>
          <w:tcPr>
            <w:tcW w:w="0" w:type="dxa"/>
            <w:vAlign w:val="bottom"/>
          </w:tcPr>
          <w:p>
            <w:pPr>
              <w:spacing w:after="0"/>
              <w:rPr>
                <w:sz w:val="1"/>
                <w:szCs w:val="1"/>
                <w:color w:val="auto"/>
              </w:rPr>
            </w:pPr>
          </w:p>
        </w:tc>
      </w:tr>
      <w:tr>
        <w:trPr>
          <w:trHeight w:val="170"/>
        </w:trPr>
        <w:tc>
          <w:tcPr>
            <w:tcW w:w="1660" w:type="dxa"/>
            <w:vAlign w:val="bottom"/>
            <w:gridSpan w:val="2"/>
            <w:vMerge w:val="continue"/>
          </w:tcPr>
          <w:p>
            <w:pPr>
              <w:spacing w:after="0"/>
              <w:rPr>
                <w:sz w:val="14"/>
                <w:szCs w:val="14"/>
                <w:color w:val="auto"/>
              </w:rPr>
            </w:pPr>
          </w:p>
        </w:tc>
        <w:tc>
          <w:tcPr>
            <w:tcW w:w="3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40" w:type="dxa"/>
            <w:vAlign w:val="bottom"/>
          </w:tcPr>
          <w:p>
            <w:pPr>
              <w:spacing w:after="0"/>
              <w:rPr>
                <w:sz w:val="16"/>
                <w:szCs w:val="16"/>
                <w:color w:val="auto"/>
              </w:rPr>
            </w:pPr>
          </w:p>
        </w:tc>
        <w:tc>
          <w:tcPr>
            <w:tcW w:w="436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color w:val="auto"/>
              </w:rPr>
              <w:t>Albany, NY 12207</w:t>
            </w:r>
          </w:p>
        </w:tc>
        <w:tc>
          <w:tcPr>
            <w:tcW w:w="20" w:type="dxa"/>
            <w:vAlign w:val="bottom"/>
          </w:tcPr>
          <w:p>
            <w:pPr>
              <w:spacing w:after="0"/>
              <w:rPr>
                <w:sz w:val="16"/>
                <w:szCs w:val="16"/>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Address</w:t>
            </w:r>
          </w:p>
        </w:tc>
        <w:tc>
          <w:tcPr>
            <w:tcW w:w="0" w:type="dxa"/>
            <w:vAlign w:val="bottom"/>
          </w:tcPr>
          <w:p>
            <w:pPr>
              <w:spacing w:after="0"/>
              <w:rPr>
                <w:sz w:val="1"/>
                <w:szCs w:val="1"/>
                <w:color w:val="auto"/>
              </w:rPr>
            </w:pPr>
          </w:p>
        </w:tc>
      </w:tr>
      <w:tr>
        <w:trPr>
          <w:trHeight w:val="332"/>
        </w:trPr>
        <w:tc>
          <w:tcPr>
            <w:tcW w:w="1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ATTACHMENTS:</w:t>
            </w:r>
          </w:p>
        </w:tc>
        <w:tc>
          <w:tcPr>
            <w:tcW w:w="826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2024 Equity Incentive Plan, as amended to the Date of Grant; Stock Option Agreement, Exercise Notice and Plan Prospectus</w:t>
            </w:r>
          </w:p>
        </w:tc>
        <w:tc>
          <w:tcPr>
            <w:tcW w:w="0" w:type="dxa"/>
            <w:vAlign w:val="bottom"/>
          </w:tcPr>
          <w:p>
            <w:pPr>
              <w:spacing w:after="0"/>
              <w:rPr>
                <w:sz w:val="1"/>
                <w:szCs w:val="1"/>
                <w:color w:val="auto"/>
              </w:rPr>
            </w:pPr>
          </w:p>
        </w:tc>
      </w:tr>
      <w:tr>
        <w:trPr>
          <w:trHeight w:val="660"/>
        </w:trPr>
        <w:tc>
          <w:tcPr>
            <w:tcW w:w="7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121" w:right="979" w:bottom="1440" w:gutter="0" w:footer="0" w:header="0"/>
        </w:sectPr>
      </w:pPr>
    </w:p>
    <w:bookmarkStart w:id="71" w:name="page72"/>
    <w:bookmarkEnd w:id="71"/>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BINAH CAPITAL GROUP, INC.</w:t>
      </w:r>
    </w:p>
    <w:p>
      <w:pPr>
        <w:spacing w:after="0" w:line="2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STOCK OPTION AGREEMENT</w:t>
      </w:r>
    </w:p>
    <w:p>
      <w:pPr>
        <w:spacing w:after="0" w:line="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(For U.S. Participants)</w:t>
      </w:r>
    </w:p>
    <w:p>
      <w:pPr>
        <w:spacing w:after="0" w:line="172" w:lineRule="exact"/>
        <w:rPr>
          <w:sz w:val="20"/>
          <w:szCs w:val="20"/>
          <w:color w:val="auto"/>
        </w:rPr>
      </w:pPr>
    </w:p>
    <w:p>
      <w:pPr>
        <w:jc w:val="both"/>
        <w:ind w:left="5" w:firstLine="560"/>
        <w:spacing w:after="0" w:line="246" w:lineRule="auto"/>
        <w:rPr>
          <w:sz w:val="20"/>
          <w:szCs w:val="20"/>
          <w:color w:val="auto"/>
        </w:rPr>
      </w:pPr>
      <w:r>
        <w:rPr>
          <w:rFonts w:ascii="Times New Roman" w:cs="Times New Roman" w:eastAsia="Times New Roman" w:hAnsi="Times New Roman"/>
          <w:sz w:val="16"/>
          <w:szCs w:val="16"/>
          <w:color w:val="auto"/>
        </w:rPr>
        <w:t xml:space="preserve">Binah Capital Group, Inc. (the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has granted to the Participant named in the </w:t>
      </w:r>
      <w:r>
        <w:rPr>
          <w:rFonts w:ascii="Times New Roman" w:cs="Times New Roman" w:eastAsia="Times New Roman" w:hAnsi="Times New Roman"/>
          <w:sz w:val="16"/>
          <w:szCs w:val="16"/>
          <w:i w:val="1"/>
          <w:iCs w:val="1"/>
          <w:color w:val="auto"/>
        </w:rPr>
        <w:t>Notice of Grant of Stock Option</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Grant Notice</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to which this Stock Option Agreement (the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Option Agreement</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is attached an option (the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Option</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to purchase certain shares of Stock upon the terms and conditions set forth in the Grant Notice and this Option Agreement. The Option has been granted pursuant to and shall in all respects be subject to the terms and conditions of the Binah Capital Group, Inc. 2024 Equity Incentive Plan (the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Plan</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as amended to the Date of Grant, the provisions of which are incorporated herein by reference. By signing the Grant Notice, the Participant: (a) acknowledges receipt of, and represents that the Participant has read and is familiar with, the Grant Notice, this Option Agreement, the Plan and a prospectus for the Plan prepared in connection with the registration with the Securities and Exchange Commission of shares issuable pursuant to the Option (the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Plan Prospectus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(b) accepts the Option subject to all of the terms and conditions of the Grant Notice, this Option Agreement and the Plan and (c) agrees to accept as binding, conclusive and final all decisions or interpretations of the Committee upon any questions arising under the Grant Notice, this Option Agreement or the Plan.</w:t>
      </w:r>
    </w:p>
    <w:p>
      <w:pPr>
        <w:spacing w:after="0" w:line="170" w:lineRule="exact"/>
        <w:rPr>
          <w:sz w:val="20"/>
          <w:szCs w:val="20"/>
          <w:color w:val="auto"/>
        </w:rPr>
      </w:pPr>
    </w:p>
    <w:p>
      <w:pPr>
        <w:ind w:left="1125" w:hanging="564"/>
        <w:spacing w:after="0"/>
        <w:tabs>
          <w:tab w:leader="none" w:pos="1125"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DEFINITIONS AND CONSTRUCTION</w:t>
      </w:r>
      <w:r>
        <w:rPr>
          <w:rFonts w:ascii="Times New Roman" w:cs="Times New Roman" w:eastAsia="Times New Roman" w:hAnsi="Times New Roman"/>
          <w:sz w:val="16"/>
          <w:szCs w:val="16"/>
          <w:b w:val="1"/>
          <w:bCs w:val="1"/>
          <w:color w:val="auto"/>
        </w:rPr>
        <w:t>.</w:t>
      </w:r>
    </w:p>
    <w:p>
      <w:pPr>
        <w:spacing w:after="0" w:line="189" w:lineRule="exact"/>
        <w:rPr>
          <w:sz w:val="20"/>
          <w:szCs w:val="20"/>
          <w:color w:val="auto"/>
        </w:rPr>
      </w:pPr>
    </w:p>
    <w:p>
      <w:pPr>
        <w:ind w:left="1125"/>
        <w:spacing w:after="0"/>
        <w:tabs>
          <w:tab w:leader="none" w:pos="1664" w:val="left"/>
        </w:tabs>
        <w:rPr>
          <w:sz w:val="20"/>
          <w:szCs w:val="20"/>
          <w:color w:val="auto"/>
        </w:rPr>
      </w:pPr>
      <w:r>
        <w:rPr>
          <w:rFonts w:ascii="Times New Roman" w:cs="Times New Roman" w:eastAsia="Times New Roman" w:hAnsi="Times New Roman"/>
          <w:sz w:val="16"/>
          <w:szCs w:val="16"/>
          <w:color w:val="auto"/>
        </w:rPr>
        <w:t>1.1</w:t>
      </w:r>
      <w:r>
        <w:rPr>
          <w:sz w:val="20"/>
          <w:szCs w:val="20"/>
          <w:color w:val="auto"/>
        </w:rPr>
        <w:tab/>
      </w:r>
      <w:r>
        <w:rPr>
          <w:rFonts w:ascii="Times New Roman" w:cs="Times New Roman" w:eastAsia="Times New Roman" w:hAnsi="Times New Roman"/>
          <w:sz w:val="14"/>
          <w:szCs w:val="14"/>
          <w:b w:val="1"/>
          <w:bCs w:val="1"/>
          <w:color w:val="auto"/>
        </w:rPr>
        <w:t>Definitions</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Unless otherwise defined herein, capitalized terms shall have the meanings assigned to such terms in the Grant Notice</w:t>
      </w:r>
    </w:p>
    <w:p>
      <w:pPr>
        <w:spacing w:after="0" w:line="2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or the Plan.</w:t>
      </w:r>
    </w:p>
    <w:p>
      <w:pPr>
        <w:spacing w:after="0" w:line="172" w:lineRule="exact"/>
        <w:rPr>
          <w:sz w:val="20"/>
          <w:szCs w:val="20"/>
          <w:color w:val="auto"/>
        </w:rPr>
      </w:pPr>
    </w:p>
    <w:p>
      <w:pPr>
        <w:jc w:val="both"/>
        <w:ind w:left="5" w:firstLine="1120"/>
        <w:spacing w:after="0" w:line="257" w:lineRule="auto"/>
        <w:rPr>
          <w:sz w:val="20"/>
          <w:szCs w:val="20"/>
          <w:color w:val="auto"/>
        </w:rPr>
      </w:pPr>
      <w:r>
        <w:rPr>
          <w:rFonts w:ascii="Times New Roman" w:cs="Times New Roman" w:eastAsia="Times New Roman" w:hAnsi="Times New Roman"/>
          <w:sz w:val="16"/>
          <w:szCs w:val="16"/>
          <w:color w:val="auto"/>
        </w:rPr>
        <w:t xml:space="preserve">1.2 </w:t>
      </w:r>
      <w:r>
        <w:rPr>
          <w:rFonts w:ascii="Times New Roman" w:cs="Times New Roman" w:eastAsia="Times New Roman" w:hAnsi="Times New Roman"/>
          <w:sz w:val="16"/>
          <w:szCs w:val="16"/>
          <w:b w:val="1"/>
          <w:bCs w:val="1"/>
          <w:color w:val="auto"/>
        </w:rPr>
        <w:t>Construction</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Captions and titles contained herein are for convenience only and shall not affect the meaning or interpretation of any provision of this Option Agreement. Except when otherwise indicated by the context, the singular shall include the plural and the plural shall include the singular. Use of the term “or” is not intended to be exclusive, unless the context clearly requires otherwise.</w:t>
      </w:r>
    </w:p>
    <w:p>
      <w:pPr>
        <w:spacing w:after="0" w:line="156" w:lineRule="exact"/>
        <w:rPr>
          <w:sz w:val="20"/>
          <w:szCs w:val="20"/>
          <w:color w:val="auto"/>
        </w:rPr>
      </w:pPr>
    </w:p>
    <w:p>
      <w:pPr>
        <w:ind w:left="1125" w:hanging="564"/>
        <w:spacing w:after="0"/>
        <w:tabs>
          <w:tab w:leader="none" w:pos="1125" w:val="left"/>
        </w:tabs>
        <w:numPr>
          <w:ilvl w:val="1"/>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TAX CONSEQUENCES</w:t>
      </w:r>
      <w:r>
        <w:rPr>
          <w:rFonts w:ascii="Times New Roman" w:cs="Times New Roman" w:eastAsia="Times New Roman" w:hAnsi="Times New Roman"/>
          <w:sz w:val="16"/>
          <w:szCs w:val="16"/>
          <w:b w:val="1"/>
          <w:bCs w:val="1"/>
          <w:color w:val="auto"/>
        </w:rPr>
        <w:t>.</w:t>
      </w:r>
    </w:p>
    <w:p>
      <w:pPr>
        <w:spacing w:after="0" w:line="189" w:lineRule="exact"/>
        <w:rPr>
          <w:rFonts w:ascii="Times New Roman" w:cs="Times New Roman" w:eastAsia="Times New Roman" w:hAnsi="Times New Roman"/>
          <w:sz w:val="16"/>
          <w:szCs w:val="16"/>
          <w:color w:val="auto"/>
        </w:rPr>
      </w:pPr>
    </w:p>
    <w:p>
      <w:pPr>
        <w:ind w:left="112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2.1</w:t>
      </w:r>
      <w:r>
        <w:rPr>
          <w:rFonts w:ascii="Times New Roman" w:cs="Times New Roman" w:eastAsia="Times New Roman" w:hAnsi="Times New Roman"/>
          <w:sz w:val="14"/>
          <w:szCs w:val="14"/>
          <w:b w:val="1"/>
          <w:bCs w:val="1"/>
          <w:color w:val="auto"/>
        </w:rPr>
        <w:t>Tax Status of Option</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This Option is intended to have the tax status designated in the Grant Notice.</w:t>
      </w:r>
    </w:p>
    <w:p>
      <w:pPr>
        <w:spacing w:after="0" w:line="189" w:lineRule="exact"/>
        <w:rPr>
          <w:rFonts w:ascii="Times New Roman" w:cs="Times New Roman" w:eastAsia="Times New Roman" w:hAnsi="Times New Roman"/>
          <w:sz w:val="16"/>
          <w:szCs w:val="16"/>
          <w:color w:val="auto"/>
        </w:rPr>
      </w:pPr>
    </w:p>
    <w:p>
      <w:pPr>
        <w:jc w:val="both"/>
        <w:ind w:left="5" w:firstLine="1675"/>
        <w:spacing w:after="0" w:line="283" w:lineRule="auto"/>
        <w:tabs>
          <w:tab w:leader="none" w:pos="2243" w:val="left"/>
        </w:tabs>
        <w:numPr>
          <w:ilvl w:val="2"/>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Incentive Stock Option</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If the Grant Notice so designates, this Option is intended to be an Incentive Stock Option within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meaning of Section 422(b) of the Code, but the Company does not represent or warrant that this Option qualifies as such. The Participant should consult with the Participant’s own tax advisor regarding the tax effects of this Option and the requirements necessary to obtain favorable income tax treatment under Section 422 of the Code, including, but not limited to, holding period requirements. (NOTE TO PARTICIPANT: If the Option is exercised more than three (3) months after the date on which you cease to be an Employee (other than by reason of your death or permanent and total disability as defined in Section 22(e)</w:t>
      </w:r>
    </w:p>
    <w:p>
      <w:pPr>
        <w:spacing w:after="0" w:line="2" w:lineRule="exact"/>
        <w:rPr>
          <w:rFonts w:ascii="Times New Roman" w:cs="Times New Roman" w:eastAsia="Times New Roman" w:hAnsi="Times New Roman"/>
          <w:sz w:val="14"/>
          <w:szCs w:val="14"/>
          <w:color w:val="auto"/>
        </w:rPr>
      </w:pPr>
    </w:p>
    <w:p>
      <w:pPr>
        <w:ind w:left="5" w:right="20" w:hanging="5"/>
        <w:spacing w:after="0" w:line="247" w:lineRule="auto"/>
        <w:tabs>
          <w:tab w:leader="none" w:pos="232"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Code), the Option will be treated as a Nonstatutory Stock Option and not as an Incentive Stock Option to the extent required by Section 422 of the Code.)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308610</wp:posOffset>
            </wp:positionV>
            <wp:extent cx="6306185" cy="222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06185" cy="22225"/>
                    </a:xfrm>
                    <a:prstGeom prst="rect">
                      <a:avLst/>
                    </a:prstGeom>
                    <a:noFill/>
                  </pic:spPr>
                </pic:pic>
              </a:graphicData>
            </a:graphic>
          </wp:anchor>
        </w:drawing>
      </w:r>
    </w:p>
    <w:p>
      <w:pPr>
        <w:sectPr>
          <w:pgSz w:w="11900" w:h="16838" w:orient="portrait"/>
          <w:cols w:equalWidth="0" w:num="1">
            <w:col w:w="9945"/>
          </w:cols>
          <w:pgMar w:left="975" w:top="121" w:right="979" w:bottom="1440" w:gutter="0" w:footer="0" w:header="0"/>
        </w:sectPr>
      </w:pPr>
    </w:p>
    <w:bookmarkStart w:id="72" w:name="page73"/>
    <w:bookmarkEnd w:id="72"/>
    <w:p>
      <w:pPr>
        <w:ind w:right="20" w:firstLine="1675"/>
        <w:spacing w:after="0" w:line="270" w:lineRule="auto"/>
        <w:tabs>
          <w:tab w:leader="none" w:pos="2239"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Nonstatutory Stock Option. </w:t>
      </w:r>
      <w:r>
        <w:rPr>
          <w:rFonts w:ascii="Times New Roman" w:cs="Times New Roman" w:eastAsia="Times New Roman" w:hAnsi="Times New Roman"/>
          <w:sz w:val="16"/>
          <w:szCs w:val="16"/>
          <w:color w:val="auto"/>
        </w:rPr>
        <w:t>If the Grant Notice so designates, this Option is intended to be a Nonstatutory Stock Option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shall not be treated as an Incentive Stock Option within the meaning of Section 422(b) of the Code.</w:t>
      </w:r>
    </w:p>
    <w:p>
      <w:pPr>
        <w:spacing w:after="0" w:line="146" w:lineRule="exact"/>
        <w:rPr>
          <w:sz w:val="20"/>
          <w:szCs w:val="20"/>
          <w:color w:val="auto"/>
        </w:rPr>
      </w:pPr>
    </w:p>
    <w:p>
      <w:pPr>
        <w:jc w:val="both"/>
        <w:ind w:firstLine="1119"/>
        <w:spacing w:after="0" w:line="245" w:lineRule="auto"/>
        <w:rPr>
          <w:sz w:val="20"/>
          <w:szCs w:val="20"/>
          <w:color w:val="auto"/>
        </w:rPr>
      </w:pPr>
      <w:r>
        <w:rPr>
          <w:rFonts w:ascii="Times New Roman" w:cs="Times New Roman" w:eastAsia="Times New Roman" w:hAnsi="Times New Roman"/>
          <w:sz w:val="16"/>
          <w:szCs w:val="16"/>
          <w:color w:val="auto"/>
        </w:rPr>
        <w:t xml:space="preserve">2.2 </w:t>
      </w:r>
      <w:r>
        <w:rPr>
          <w:rFonts w:ascii="Times New Roman" w:cs="Times New Roman" w:eastAsia="Times New Roman" w:hAnsi="Times New Roman"/>
          <w:sz w:val="16"/>
          <w:szCs w:val="16"/>
          <w:b w:val="1"/>
          <w:bCs w:val="1"/>
          <w:color w:val="auto"/>
        </w:rPr>
        <w:t>ISO Fair Market Value Limitation.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If the Grant Notice designates this Option as an Incentive Stock Option,</w:t>
      </w:r>
      <w:r>
        <w:rPr>
          <w:rFonts w:ascii="Times New Roman" w:cs="Times New Roman" w:eastAsia="Times New Roman" w:hAnsi="Times New Roman"/>
          <w:sz w:val="16"/>
          <w:szCs w:val="16"/>
          <w:color w:val="auto"/>
        </w:rPr>
        <w:t xml:space="preserve"> then to the extent that the Option (together with all Incentive Stock Options granted to the Participant under all stock option plans of the Participating Company Group, including the Plan) becomes exercisable for the first time during any calendar year for shares having a Fair Market Value greater than One Hundred Thousand Dollars ($100,000), the portion of such options which exceeds such amount will be treated as Nonstatutory Stock Options. For purposes of this Section 2.2, options designated as Incentive Stock Options are taken into account in the order in which they were granted, and the Fair Market Value of stock is determined as of the time the option with respect to such stock is granted. If the Code is amended to provide for a different limitation from that set forth in this Section 2.2, such different limitation shall be deemed incorporated herein effective as of the date required or permitted by such amendment to the Code. If the Option is treated as an Incentive Stock Option in part and as a Nonstatutory Stock Option in part by reason of the limitation set forth in this Section 2.2, the Participant may designate which portion of such Option the Participant is exercising. In the absence of such designation, the Participant shall be deemed to have exercised the Incentive Stock Option portion of the Option first. Separate certificates representing each such portion shall be issued upon the exercise of the Option. (NOTE TO PARTICIPANT: If the aggregate Exercise Price of the Option (that is, the Exercise Price multiplied by the Number of Option Shares) plus the aggregate exercise price of any other Incentive Stock Options you hold (whether granted pursuant to the Plan or any other stock option plan of the Participating Company Group) is greater than $100,000, you should contact the Chief Financial Officer of the Company to ascertain whether the entire Option qualifies as an Incentive Stock Option.)</w:t>
      </w:r>
    </w:p>
    <w:p>
      <w:pPr>
        <w:spacing w:after="0" w:line="171" w:lineRule="exact"/>
        <w:rPr>
          <w:sz w:val="20"/>
          <w:szCs w:val="20"/>
          <w:color w:val="auto"/>
        </w:rPr>
      </w:pPr>
    </w:p>
    <w:p>
      <w:pPr>
        <w:ind w:left="1120" w:hanging="564"/>
        <w:spacing w:after="0"/>
        <w:tabs>
          <w:tab w:leader="none" w:pos="112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ADMINISTRATION</w:t>
      </w:r>
      <w:r>
        <w:rPr>
          <w:rFonts w:ascii="Times New Roman" w:cs="Times New Roman" w:eastAsia="Times New Roman" w:hAnsi="Times New Roman"/>
          <w:sz w:val="16"/>
          <w:szCs w:val="16"/>
          <w:b w:val="1"/>
          <w:bCs w:val="1"/>
          <w:color w:val="auto"/>
        </w:rPr>
        <w:t>.</w:t>
      </w:r>
    </w:p>
    <w:p>
      <w:pPr>
        <w:spacing w:after="0" w:line="191" w:lineRule="exact"/>
        <w:rPr>
          <w:sz w:val="20"/>
          <w:szCs w:val="20"/>
          <w:color w:val="auto"/>
        </w:rPr>
      </w:pPr>
    </w:p>
    <w:p>
      <w:pPr>
        <w:jc w:val="both"/>
        <w:ind w:firstLine="1119"/>
        <w:spacing w:after="0" w:line="247" w:lineRule="auto"/>
        <w:rPr>
          <w:sz w:val="20"/>
          <w:szCs w:val="20"/>
          <w:color w:val="auto"/>
        </w:rPr>
      </w:pPr>
      <w:r>
        <w:rPr>
          <w:rFonts w:ascii="Times New Roman" w:cs="Times New Roman" w:eastAsia="Times New Roman" w:hAnsi="Times New Roman"/>
          <w:sz w:val="16"/>
          <w:szCs w:val="16"/>
          <w:color w:val="auto"/>
        </w:rPr>
        <w:t>All questions of interpretation concerning the Grant Notice, this Option Agreement, the Plan or any other form of agreement or other document employed by the Company in the administration of the Plan or the Option shall be determined by the Committee. All such determinations by the Committee shall be final, binding and conclusive upon all persons having an interest in the Option, unless fraudulent or made in bad faith. Any and all actions, decisions and determinations taken or made by the Committee in the exercise of its discretion pursuant to the Plan or the Option or other agreement thereunder (other than determining questions of interpretation pursuant to the preceding sentence) shall be final, binding and conclusive upon all persons having an interest in the Option. Any Officer shall have the authority to act on behalf of the Company with respect to any matter, right, obligation, or election which is the responsibility of or which is allocated to the Company herein, provided the Officer has apparent authority with respect to such matter, right, obligation, or election.</w:t>
      </w:r>
    </w:p>
    <w:p>
      <w:pPr>
        <w:spacing w:after="0" w:line="164" w:lineRule="exact"/>
        <w:rPr>
          <w:sz w:val="20"/>
          <w:szCs w:val="20"/>
          <w:color w:val="auto"/>
        </w:rPr>
      </w:pPr>
    </w:p>
    <w:p>
      <w:pPr>
        <w:ind w:left="1120" w:hanging="564"/>
        <w:spacing w:after="0"/>
        <w:tabs>
          <w:tab w:leader="none" w:pos="112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EXERCISE OF THE OPTION</w:t>
      </w:r>
      <w:r>
        <w:rPr>
          <w:rFonts w:ascii="Times New Roman" w:cs="Times New Roman" w:eastAsia="Times New Roman" w:hAnsi="Times New Roman"/>
          <w:sz w:val="16"/>
          <w:szCs w:val="16"/>
          <w:b w:val="1"/>
          <w:bCs w:val="1"/>
          <w:color w:val="auto"/>
        </w:rPr>
        <w:t>.</w:t>
      </w:r>
    </w:p>
    <w:p>
      <w:pPr>
        <w:spacing w:after="0" w:line="189" w:lineRule="exact"/>
        <w:rPr>
          <w:sz w:val="20"/>
          <w:szCs w:val="20"/>
          <w:color w:val="auto"/>
        </w:rPr>
      </w:pPr>
    </w:p>
    <w:p>
      <w:pPr>
        <w:ind w:right="20" w:firstLine="1119"/>
        <w:spacing w:after="0" w:line="270" w:lineRule="auto"/>
        <w:rPr>
          <w:sz w:val="20"/>
          <w:szCs w:val="20"/>
          <w:color w:val="auto"/>
        </w:rPr>
      </w:pPr>
      <w:r>
        <w:rPr>
          <w:rFonts w:ascii="Times New Roman" w:cs="Times New Roman" w:eastAsia="Times New Roman" w:hAnsi="Times New Roman"/>
          <w:sz w:val="16"/>
          <w:szCs w:val="16"/>
          <w:color w:val="auto"/>
        </w:rPr>
        <w:t xml:space="preserve">4.1 </w:t>
      </w:r>
      <w:r>
        <w:rPr>
          <w:rFonts w:ascii="Times New Roman" w:cs="Times New Roman" w:eastAsia="Times New Roman" w:hAnsi="Times New Roman"/>
          <w:sz w:val="16"/>
          <w:szCs w:val="16"/>
          <w:b w:val="1"/>
          <w:bCs w:val="1"/>
          <w:color w:val="auto"/>
        </w:rPr>
        <w:t>Right to Exercise</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Except as otherwise provided herein, the Option shall be exercisable on and after the Initial Vesting Date and prior to the termination of the Option (as provided in Section 6) in an amount not to exceed the number of Vested Shares less the number</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308610</wp:posOffset>
            </wp:positionV>
            <wp:extent cx="6306185" cy="222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06185" cy="22225"/>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73" w:name="page74"/>
    <w:bookmarkEnd w:id="73"/>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of shares previously acquired upon exercise of the Option. In no event shall the Option be exercisable for more shares than the Number of Option Shares, as adjusted pursuant to Section 9.</w:t>
      </w:r>
    </w:p>
    <w:p>
      <w:pPr>
        <w:spacing w:after="0" w:line="149" w:lineRule="exact"/>
        <w:rPr>
          <w:sz w:val="20"/>
          <w:szCs w:val="20"/>
          <w:color w:val="auto"/>
        </w:rPr>
      </w:pPr>
    </w:p>
    <w:p>
      <w:pPr>
        <w:jc w:val="both"/>
        <w:ind w:firstLine="1119"/>
        <w:spacing w:after="0" w:line="246" w:lineRule="auto"/>
        <w:rPr>
          <w:sz w:val="20"/>
          <w:szCs w:val="20"/>
          <w:color w:val="auto"/>
        </w:rPr>
      </w:pPr>
      <w:r>
        <w:rPr>
          <w:rFonts w:ascii="Times New Roman" w:cs="Times New Roman" w:eastAsia="Times New Roman" w:hAnsi="Times New Roman"/>
          <w:sz w:val="16"/>
          <w:szCs w:val="16"/>
          <w:color w:val="auto"/>
        </w:rPr>
        <w:t xml:space="preserve">4.2 </w:t>
      </w:r>
      <w:r>
        <w:rPr>
          <w:rFonts w:ascii="Times New Roman" w:cs="Times New Roman" w:eastAsia="Times New Roman" w:hAnsi="Times New Roman"/>
          <w:sz w:val="16"/>
          <w:szCs w:val="16"/>
          <w:b w:val="1"/>
          <w:bCs w:val="1"/>
          <w:color w:val="auto"/>
        </w:rPr>
        <w:t>Method of Exercise</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Exercise of the Option shall be by means of electronic or written notice (the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Exercise Notice</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in a form authorized by the Company. An electronic Exercise Notice must be digitally signed or authenticated by the Participant in such manner as required by the notice and transmitted to the Company or an authorized representative of the Company (including a third-party administrator designated by the Company). In the event that the Participant is not authorized or is unable to provide an electronic Exercise Notice, the Option shall be exercised by a written Exercise Notice addressed to the Company, which shall be signed by the Participant and delivered in person, by certified or registered mail, return receipt requested, by confirmed facsimile transmission, or by such other means as the Company may permit, to the Company, or an authorized representative of the Company (including a third-party administrator designated by the Company). Each Exercise Notice, whether electronic or written, must state the Participant’s election to exercise the Option, the number of whole shares of Stock for which the Option is being exercised and such other representations and agreements as to the Participant’s investment intent with respect to such shares as may be required pursuant to the provisions of this Option Agreement. Further, each Exercise Notice must be received by the Company prior to the termination of the Option as set forth in Section 6 and must be accompanied by full payment of the aggregate Exercise Price for the number of shares of Stock being purchased. The Option shall be deemed to be exercised upon receipt by the Company of such electronic or written Exercise Notice and the aggregate Exercise Price.</w:t>
      </w:r>
    </w:p>
    <w:p>
      <w:pPr>
        <w:spacing w:after="0" w:line="164" w:lineRule="exact"/>
        <w:rPr>
          <w:sz w:val="20"/>
          <w:szCs w:val="20"/>
          <w:color w:val="auto"/>
        </w:rPr>
      </w:pPr>
    </w:p>
    <w:p>
      <w:pPr>
        <w:ind w:left="1120"/>
        <w:spacing w:after="0"/>
        <w:tabs>
          <w:tab w:leader="none" w:pos="1660" w:val="left"/>
        </w:tabs>
        <w:rPr>
          <w:sz w:val="20"/>
          <w:szCs w:val="20"/>
          <w:color w:val="auto"/>
        </w:rPr>
      </w:pPr>
      <w:r>
        <w:rPr>
          <w:rFonts w:ascii="Times New Roman" w:cs="Times New Roman" w:eastAsia="Times New Roman" w:hAnsi="Times New Roman"/>
          <w:sz w:val="16"/>
          <w:szCs w:val="16"/>
          <w:color w:val="auto"/>
        </w:rPr>
        <w:t>4.3</w:t>
      </w:r>
      <w:r>
        <w:rPr>
          <w:sz w:val="20"/>
          <w:szCs w:val="20"/>
          <w:color w:val="auto"/>
        </w:rPr>
        <w:tab/>
      </w:r>
      <w:r>
        <w:rPr>
          <w:rFonts w:ascii="Times New Roman" w:cs="Times New Roman" w:eastAsia="Times New Roman" w:hAnsi="Times New Roman"/>
          <w:sz w:val="14"/>
          <w:szCs w:val="14"/>
          <w:b w:val="1"/>
          <w:bCs w:val="1"/>
          <w:color w:val="auto"/>
        </w:rPr>
        <w:t>Payment of Exercise Price.</w:t>
      </w:r>
    </w:p>
    <w:p>
      <w:pPr>
        <w:spacing w:after="0" w:line="189" w:lineRule="exact"/>
        <w:rPr>
          <w:sz w:val="20"/>
          <w:szCs w:val="20"/>
          <w:color w:val="auto"/>
        </w:rPr>
      </w:pPr>
    </w:p>
    <w:p>
      <w:pPr>
        <w:jc w:val="both"/>
        <w:ind w:right="20" w:firstLine="1675"/>
        <w:spacing w:after="0" w:line="252" w:lineRule="auto"/>
        <w:tabs>
          <w:tab w:leader="none" w:pos="2239"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Forms of Consideration Authorized</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Except as otherwise provided below, payment of the aggregate Exercise Price for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number of shares of Stock for which the Option is being exercised shall be made (i) in cash, by check or in cash equivalent; (ii) if permitted by the Company and subject to the limitations contained in Section 4.3(b), by means of (1) a Cashless Exercise, (2) a Net-Exercise, or (3) a Stock Tender Exercise; or (iii) by any combination of the foregoing.</w:t>
      </w:r>
    </w:p>
    <w:p>
      <w:pPr>
        <w:spacing w:after="0" w:line="160" w:lineRule="exact"/>
        <w:rPr>
          <w:rFonts w:ascii="Times New Roman" w:cs="Times New Roman" w:eastAsia="Times New Roman" w:hAnsi="Times New Roman"/>
          <w:sz w:val="16"/>
          <w:szCs w:val="16"/>
          <w:color w:val="auto"/>
        </w:rPr>
      </w:pPr>
    </w:p>
    <w:p>
      <w:pPr>
        <w:jc w:val="both"/>
        <w:ind w:right="20" w:firstLine="1675"/>
        <w:spacing w:after="0" w:line="257" w:lineRule="auto"/>
        <w:tabs>
          <w:tab w:leader="none" w:pos="2239"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Limitations on Forms of Consideration. </w:t>
      </w:r>
      <w:r>
        <w:rPr>
          <w:rFonts w:ascii="Times New Roman" w:cs="Times New Roman" w:eastAsia="Times New Roman" w:hAnsi="Times New Roman"/>
          <w:sz w:val="16"/>
          <w:szCs w:val="16"/>
          <w:color w:val="auto"/>
        </w:rPr>
        <w:t>The Company reserves, at any and all times, the right, in the Company’s sole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absolute discretion, to establish, decline to approve or terminate any program or procedure providing for payment of the Exercise Price through any of the means described below, including with respect to the Participant notwithstanding that such program or procedures may be available to others.</w:t>
      </w:r>
    </w:p>
    <w:p>
      <w:pPr>
        <w:spacing w:after="0" w:line="155" w:lineRule="exact"/>
        <w:rPr>
          <w:rFonts w:ascii="Times New Roman" w:cs="Times New Roman" w:eastAsia="Times New Roman" w:hAnsi="Times New Roman"/>
          <w:sz w:val="16"/>
          <w:szCs w:val="16"/>
          <w:color w:val="auto"/>
        </w:rPr>
      </w:pPr>
    </w:p>
    <w:p>
      <w:pPr>
        <w:jc w:val="both"/>
        <w:ind w:firstLine="2236"/>
        <w:spacing w:after="0" w:line="250" w:lineRule="auto"/>
        <w:tabs>
          <w:tab w:leader="none" w:pos="2800" w:val="left"/>
        </w:tabs>
        <w:numPr>
          <w:ilvl w:val="1"/>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Cashless Exercise. </w:t>
      </w:r>
      <w:r>
        <w:rPr>
          <w:rFonts w:ascii="Times New Roman" w:cs="Times New Roman" w:eastAsia="Times New Roman" w:hAnsi="Times New Roman"/>
          <w:sz w:val="16"/>
          <w:szCs w:val="16"/>
          <w:color w:val="auto"/>
        </w:rPr>
        <w:t>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Cashless Exercise</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means the delivery of a properly executed Exercise Notice together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with irrevocable instructions to a broker in a form acceptable to the Company providing for the assignment to the Company of the proceeds of a sale or loan with respect to shares of Stock acquired upon the exercise of the Option in an amount not less than the aggregate Exercise Price for such shares (including, without limitation, through an exercise complying with the provisions of Regulation T as promulgated from time to time by the Board of Governors of the Federal Reserve System).</w:t>
      </w:r>
    </w:p>
    <w:p>
      <w:pPr>
        <w:spacing w:after="0" w:line="162" w:lineRule="exact"/>
        <w:rPr>
          <w:rFonts w:ascii="Times New Roman" w:cs="Times New Roman" w:eastAsia="Times New Roman" w:hAnsi="Times New Roman"/>
          <w:sz w:val="16"/>
          <w:szCs w:val="16"/>
          <w:color w:val="auto"/>
        </w:rPr>
      </w:pPr>
    </w:p>
    <w:p>
      <w:pPr>
        <w:ind w:left="2800" w:hanging="564"/>
        <w:spacing w:after="0"/>
        <w:tabs>
          <w:tab w:leader="none" w:pos="2800" w:val="left"/>
        </w:tabs>
        <w:numPr>
          <w:ilvl w:val="1"/>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Net-Exercise. </w:t>
      </w:r>
      <w:r>
        <w:rPr>
          <w:rFonts w:ascii="Times New Roman" w:cs="Times New Roman" w:eastAsia="Times New Roman" w:hAnsi="Times New Roman"/>
          <w:sz w:val="14"/>
          <w:szCs w:val="14"/>
          <w:color w:val="auto"/>
        </w:rPr>
        <w:t>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Net-Exercise</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means the delivery of a properly executed Exercise Notice electing a procedure</w:t>
      </w:r>
    </w:p>
    <w:p>
      <w:pPr>
        <w:spacing w:after="0" w:line="4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pursuant to which (1) the Company will</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308610</wp:posOffset>
            </wp:positionV>
            <wp:extent cx="6306185" cy="222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06185" cy="22225"/>
                    </a:xfrm>
                    <a:prstGeom prst="rect">
                      <a:avLst/>
                    </a:prstGeom>
                    <a:noFill/>
                  </pic:spPr>
                </pic:pic>
              </a:graphicData>
            </a:graphic>
          </wp:anchor>
        </w:drawing>
      </w:r>
    </w:p>
    <w:p>
      <w:pPr>
        <w:sectPr>
          <w:pgSz w:w="11900" w:h="16838" w:orient="portrait"/>
          <w:cols w:equalWidth="0" w:num="1">
            <w:col w:w="9940"/>
          </w:cols>
          <w:pgMar w:left="980" w:top="123" w:right="979" w:bottom="1440" w:gutter="0" w:footer="0" w:header="0"/>
        </w:sectPr>
      </w:pPr>
    </w:p>
    <w:bookmarkStart w:id="74" w:name="page75"/>
    <w:bookmarkEnd w:id="74"/>
    <w:p>
      <w:pPr>
        <w:jc w:val="both"/>
        <w:spacing w:after="0" w:line="249" w:lineRule="auto"/>
        <w:rPr>
          <w:sz w:val="20"/>
          <w:szCs w:val="20"/>
          <w:color w:val="auto"/>
        </w:rPr>
      </w:pPr>
      <w:r>
        <w:rPr>
          <w:rFonts w:ascii="Times New Roman" w:cs="Times New Roman" w:eastAsia="Times New Roman" w:hAnsi="Times New Roman"/>
          <w:sz w:val="16"/>
          <w:szCs w:val="16"/>
          <w:color w:val="auto"/>
        </w:rPr>
        <w:t>reduce the number of shares otherwise issuable to the Participant upon the exercise of the Option by the largest whole number of shares having a Fair Market Value that does not exceed the aggregate Exercise Price for the shares with respect to which the Option is exercised, and (2) the Participant shall pay to the Company in cash the remaining balance of such aggregate Exercise Price not satisfied by such reduction in the number of whole shares to be issued. Following a Net- Exercise, the number of shares remaining subject to the Option, if any, shall be reduced by the sum of (1) the net number of shares issued to the Participant upon such exercise, and (2) the number of shares deducted by the Company for payment of the aggregate Exercise Price.</w:t>
      </w:r>
    </w:p>
    <w:p>
      <w:pPr>
        <w:spacing w:after="0" w:line="164" w:lineRule="exact"/>
        <w:rPr>
          <w:sz w:val="20"/>
          <w:szCs w:val="20"/>
          <w:color w:val="auto"/>
        </w:rPr>
      </w:pPr>
    </w:p>
    <w:p>
      <w:pPr>
        <w:jc w:val="both"/>
        <w:ind w:firstLine="2236"/>
        <w:spacing w:after="0" w:line="247" w:lineRule="auto"/>
        <w:tabs>
          <w:tab w:leader="none" w:pos="280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Stock Tender Exercise. </w:t>
      </w:r>
      <w:r>
        <w:rPr>
          <w:rFonts w:ascii="Times New Roman" w:cs="Times New Roman" w:eastAsia="Times New Roman" w:hAnsi="Times New Roman"/>
          <w:sz w:val="16"/>
          <w:szCs w:val="16"/>
          <w:color w:val="auto"/>
        </w:rPr>
        <w:t>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Stock Tender Exercise</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means the delivery of a properly executed Exercise Notice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accompanied by (1) the Participant’s tender to the Company, or attestation to the ownership, in a form acceptable to the Company of whole shares of Stock having a Fair Market Value that does not exceed the aggregate Exercise Price for the shares with respect to which the Option is exercised, and (2) the Participant’s payment to the Company in cash of the remaining balance of such aggregate Exercise Price not satisfied by such shares’ Fair Market Value. A Stock Tender Exercise shall not be permitted if it would constitute a violation of the provisions of any law, regulation or agreement restricting the redemption of the Company’s stock. If required by the Company, the Option may not be exercised by tender to the Company, or attestation to the ownership, of shares of Stock unless such shares either have been owned by the Participant for a period of time required by the Company (and not used for another option exercise by attestation during such period) or were not acquired, directly or indirectly, from the Company.</w:t>
      </w:r>
    </w:p>
    <w:p>
      <w:pPr>
        <w:spacing w:after="0" w:line="166" w:lineRule="exact"/>
        <w:rPr>
          <w:sz w:val="20"/>
          <w:szCs w:val="20"/>
          <w:color w:val="auto"/>
        </w:rPr>
      </w:pPr>
    </w:p>
    <w:p>
      <w:pPr>
        <w:ind w:left="1120"/>
        <w:spacing w:after="0"/>
        <w:tabs>
          <w:tab w:leader="none" w:pos="1660" w:val="left"/>
        </w:tabs>
        <w:rPr>
          <w:sz w:val="20"/>
          <w:szCs w:val="20"/>
          <w:color w:val="auto"/>
        </w:rPr>
      </w:pPr>
      <w:r>
        <w:rPr>
          <w:rFonts w:ascii="Times New Roman" w:cs="Times New Roman" w:eastAsia="Times New Roman" w:hAnsi="Times New Roman"/>
          <w:sz w:val="16"/>
          <w:szCs w:val="16"/>
          <w:color w:val="auto"/>
        </w:rPr>
        <w:t>4.4</w:t>
      </w:r>
      <w:r>
        <w:rPr>
          <w:sz w:val="20"/>
          <w:szCs w:val="20"/>
          <w:color w:val="auto"/>
        </w:rPr>
        <w:tab/>
      </w:r>
      <w:r>
        <w:rPr>
          <w:rFonts w:ascii="Times New Roman" w:cs="Times New Roman" w:eastAsia="Times New Roman" w:hAnsi="Times New Roman"/>
          <w:sz w:val="14"/>
          <w:szCs w:val="14"/>
          <w:b w:val="1"/>
          <w:bCs w:val="1"/>
          <w:color w:val="auto"/>
        </w:rPr>
        <w:t>Tax Withholding</w:t>
      </w:r>
      <w:r>
        <w:rPr>
          <w:rFonts w:ascii="Times New Roman" w:cs="Times New Roman" w:eastAsia="Times New Roman" w:hAnsi="Times New Roman"/>
          <w:sz w:val="14"/>
          <w:szCs w:val="14"/>
          <w:b w:val="1"/>
          <w:bCs w:val="1"/>
          <w:i w:val="1"/>
          <w:iCs w:val="1"/>
          <w:color w:val="auto"/>
        </w:rPr>
        <w:t>.</w:t>
      </w:r>
    </w:p>
    <w:p>
      <w:pPr>
        <w:spacing w:after="0" w:line="189" w:lineRule="exact"/>
        <w:rPr>
          <w:sz w:val="20"/>
          <w:szCs w:val="20"/>
          <w:color w:val="auto"/>
        </w:rPr>
      </w:pPr>
    </w:p>
    <w:p>
      <w:pPr>
        <w:jc w:val="both"/>
        <w:ind w:firstLine="1675"/>
        <w:spacing w:after="0" w:line="248" w:lineRule="auto"/>
        <w:tabs>
          <w:tab w:leader="none" w:pos="2239"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In General. </w:t>
      </w:r>
      <w:r>
        <w:rPr>
          <w:rFonts w:ascii="Times New Roman" w:cs="Times New Roman" w:eastAsia="Times New Roman" w:hAnsi="Times New Roman"/>
          <w:sz w:val="16"/>
          <w:szCs w:val="16"/>
          <w:color w:val="auto"/>
        </w:rPr>
        <w:t>At the time the Option is exercised, in whole or in part, or at any time thereafter as requested by a Participating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Company, the Participant hereby authorizes withholding from payroll and any other amounts payable to the Participant, and otherwise agrees to make adequate provision for (including by means of a Cashless Exercise to the extent permitted by the Company), any sums required to satisfy the federal, state, local and foreign tax (including any social insurance) withholding obligations of the Participating Company Group, if any, which arise in connection with the Option. The Company shall have no obligation to deliver shares of Stock until the tax withholding obligations of the Participating Company Group have been satisfied by the Participant.</w:t>
      </w:r>
    </w:p>
    <w:p>
      <w:pPr>
        <w:spacing w:after="0" w:line="166" w:lineRule="exact"/>
        <w:rPr>
          <w:rFonts w:ascii="Times New Roman" w:cs="Times New Roman" w:eastAsia="Times New Roman" w:hAnsi="Times New Roman"/>
          <w:sz w:val="16"/>
          <w:szCs w:val="16"/>
          <w:color w:val="auto"/>
        </w:rPr>
      </w:pPr>
    </w:p>
    <w:p>
      <w:pPr>
        <w:jc w:val="both"/>
        <w:ind w:firstLine="1675"/>
        <w:spacing w:after="0" w:line="250" w:lineRule="auto"/>
        <w:tabs>
          <w:tab w:leader="none" w:pos="2239"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Withholding in Shares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Company shall have the right, but not the obligation, to require the Participant to satisfy all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any portion of a Participating Company’s tax withholding obligations upon exercise of the Option by deducting from the shares of Stock otherwise issuable to the Participant upon such exercise a number of whole shares having a fair market value, as determined by the Company as of the date of exercise, not in excess of the amount of such tax withholding obligations determined by the applicable minimum statutory withholding rates if required to avoid liability classification of the Option under generally accepted accounting principles in the United States.</w:t>
      </w:r>
    </w:p>
    <w:p>
      <w:pPr>
        <w:spacing w:after="0" w:line="162" w:lineRule="exact"/>
        <w:rPr>
          <w:sz w:val="20"/>
          <w:szCs w:val="20"/>
          <w:color w:val="auto"/>
        </w:rPr>
      </w:pPr>
    </w:p>
    <w:p>
      <w:pPr>
        <w:jc w:val="both"/>
        <w:ind w:right="20" w:firstLine="1119"/>
        <w:spacing w:after="0" w:line="257" w:lineRule="auto"/>
        <w:rPr>
          <w:sz w:val="20"/>
          <w:szCs w:val="20"/>
          <w:color w:val="auto"/>
        </w:rPr>
      </w:pPr>
      <w:r>
        <w:rPr>
          <w:rFonts w:ascii="Times New Roman" w:cs="Times New Roman" w:eastAsia="Times New Roman" w:hAnsi="Times New Roman"/>
          <w:sz w:val="16"/>
          <w:szCs w:val="16"/>
          <w:color w:val="auto"/>
        </w:rPr>
        <w:t xml:space="preserve">4.5 </w:t>
      </w:r>
      <w:r>
        <w:rPr>
          <w:rFonts w:ascii="Times New Roman" w:cs="Times New Roman" w:eastAsia="Times New Roman" w:hAnsi="Times New Roman"/>
          <w:sz w:val="16"/>
          <w:szCs w:val="16"/>
          <w:b w:val="1"/>
          <w:bCs w:val="1"/>
          <w:color w:val="auto"/>
        </w:rPr>
        <w:t>Beneficial Ownership of Shares; Certificate Registration</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The Participant hereby authorizes the Company, in its sole discretion, to deposit for the benefit of the Participant with any broker with which the Participant has an account relationship of which the Company has notice any or all shares acquired by the Participant pursuant to the exercise of the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308610</wp:posOffset>
            </wp:positionV>
            <wp:extent cx="6306185" cy="222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06185" cy="22225"/>
                    </a:xfrm>
                    <a:prstGeom prst="rect">
                      <a:avLst/>
                    </a:prstGeom>
                    <a:noFill/>
                  </pic:spPr>
                </pic:pic>
              </a:graphicData>
            </a:graphic>
          </wp:anchor>
        </w:drawing>
      </w:r>
    </w:p>
    <w:p>
      <w:pPr>
        <w:sectPr>
          <w:pgSz w:w="11900" w:h="16838" w:orient="portrait"/>
          <w:cols w:equalWidth="0" w:num="1">
            <w:col w:w="9940"/>
          </w:cols>
          <w:pgMar w:left="980" w:top="123" w:right="979" w:bottom="1440" w:gutter="0" w:footer="0" w:header="0"/>
        </w:sectPr>
      </w:pPr>
    </w:p>
    <w:bookmarkStart w:id="75" w:name="page76"/>
    <w:bookmarkEnd w:id="75"/>
    <w:p>
      <w:pPr>
        <w:jc w:val="both"/>
        <w:ind w:left="5" w:right="20"/>
        <w:spacing w:after="0" w:line="267" w:lineRule="auto"/>
        <w:rPr>
          <w:sz w:val="20"/>
          <w:szCs w:val="20"/>
          <w:color w:val="auto"/>
        </w:rPr>
      </w:pPr>
      <w:r>
        <w:rPr>
          <w:rFonts w:ascii="Times New Roman" w:cs="Times New Roman" w:eastAsia="Times New Roman" w:hAnsi="Times New Roman"/>
          <w:sz w:val="16"/>
          <w:szCs w:val="16"/>
          <w:color w:val="auto"/>
        </w:rPr>
        <w:t>Option. Except as provided by the preceding sentence, a certificate for the shares as to which the Option is exercised shall be registered in the name of the Participant, or, if applicable, in the names of the heirs of the Participant.</w:t>
      </w:r>
    </w:p>
    <w:p>
      <w:pPr>
        <w:spacing w:after="0" w:line="149" w:lineRule="exact"/>
        <w:rPr>
          <w:sz w:val="20"/>
          <w:szCs w:val="20"/>
          <w:color w:val="auto"/>
        </w:rPr>
      </w:pPr>
    </w:p>
    <w:p>
      <w:pPr>
        <w:jc w:val="both"/>
        <w:ind w:left="5" w:firstLine="1119"/>
        <w:spacing w:after="0" w:line="245" w:lineRule="auto"/>
        <w:rPr>
          <w:sz w:val="20"/>
          <w:szCs w:val="20"/>
          <w:color w:val="auto"/>
        </w:rPr>
      </w:pPr>
      <w:r>
        <w:rPr>
          <w:rFonts w:ascii="Times New Roman" w:cs="Times New Roman" w:eastAsia="Times New Roman" w:hAnsi="Times New Roman"/>
          <w:sz w:val="16"/>
          <w:szCs w:val="16"/>
          <w:color w:val="auto"/>
        </w:rPr>
        <w:t xml:space="preserve">4.6 </w:t>
      </w:r>
      <w:r>
        <w:rPr>
          <w:rFonts w:ascii="Times New Roman" w:cs="Times New Roman" w:eastAsia="Times New Roman" w:hAnsi="Times New Roman"/>
          <w:sz w:val="16"/>
          <w:szCs w:val="16"/>
          <w:b w:val="1"/>
          <w:bCs w:val="1"/>
          <w:color w:val="auto"/>
        </w:rPr>
        <w:t>Restrictions on Grant of the Option and Issuance of Shares</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The grant of the Option and the issuance of shares of Stock upon exercise of the Option shall be subject to compliance with all applicable requirements of federal, state or foreign law with respect to such securities. The Option may not be exercised if the issuance of shares of Stock upon exercise would constitute a violation of any applicable federal, state or foreign securities laws or other law or regulations or the requirements of any stock exchange or market system upon which the Stock may then be listed. In addition, the Option may not be exercised unless (i) a registration statement under the Securities Act shall at the time of exercise of the Option be in effect with respect to the shares issuable upon exercise of the Option or (ii) in the opinion of legal counsel to the Company, the shares issuable upon exercise of the Option may be issued in accordance with the terms of an applicable exemption from the registration requirements of the Securities Act. THE PARTICIPANT IS CAUTIONED THAT THE OPTION MAY NOT BE EXERCISED UNLESS THE FOREGOING CONDITIONS ARE SATISFIED. ACCORDINGLY, THE PARTICIPANT MAY NOT BE ABLE TO EXERCISE THE OPTION WHEN DESIRED EVEN THOUGH THE OPTION IS VESTED. The inability of the Company to obtain from any regulatory body having jurisdiction the authority, if any, deemed by the Company’s legal counsel to be necessary to the lawful issuance and sale of any shares subject to the Option shall relieve the Company of any liability in respect of the failure to issue or sell such shares as to which such requisite authority shall not have been obtained. As a condition to the exercise of the Option,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71" w:lineRule="exact"/>
        <w:rPr>
          <w:sz w:val="20"/>
          <w:szCs w:val="20"/>
          <w:color w:val="auto"/>
        </w:rPr>
      </w:pPr>
    </w:p>
    <w:p>
      <w:pPr>
        <w:ind w:left="1125"/>
        <w:spacing w:after="0"/>
        <w:tabs>
          <w:tab w:leader="none" w:pos="1664" w:val="left"/>
        </w:tabs>
        <w:rPr>
          <w:sz w:val="20"/>
          <w:szCs w:val="20"/>
          <w:color w:val="auto"/>
        </w:rPr>
      </w:pPr>
      <w:r>
        <w:rPr>
          <w:rFonts w:ascii="Times New Roman" w:cs="Times New Roman" w:eastAsia="Times New Roman" w:hAnsi="Times New Roman"/>
          <w:sz w:val="16"/>
          <w:szCs w:val="16"/>
          <w:color w:val="auto"/>
        </w:rPr>
        <w:t>4.7</w:t>
      </w:r>
      <w:r>
        <w:rPr>
          <w:sz w:val="20"/>
          <w:szCs w:val="20"/>
          <w:color w:val="auto"/>
        </w:rPr>
        <w:tab/>
      </w:r>
      <w:r>
        <w:rPr>
          <w:rFonts w:ascii="Times New Roman" w:cs="Times New Roman" w:eastAsia="Times New Roman" w:hAnsi="Times New Roman"/>
          <w:sz w:val="14"/>
          <w:szCs w:val="14"/>
          <w:b w:val="1"/>
          <w:bCs w:val="1"/>
          <w:color w:val="auto"/>
        </w:rPr>
        <w:t>Fractional Shares</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Company shall not be required to issue fractional shares upon the exercise of the Option.</w:t>
      </w:r>
    </w:p>
    <w:p>
      <w:pPr>
        <w:spacing w:after="0" w:line="189" w:lineRule="exact"/>
        <w:rPr>
          <w:sz w:val="20"/>
          <w:szCs w:val="20"/>
          <w:color w:val="auto"/>
        </w:rPr>
      </w:pPr>
    </w:p>
    <w:p>
      <w:pPr>
        <w:ind w:left="1125" w:hanging="564"/>
        <w:spacing w:after="0"/>
        <w:tabs>
          <w:tab w:leader="none" w:pos="1125"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NONTRANSFERABILITY OF THE OPTION</w:t>
      </w:r>
      <w:r>
        <w:rPr>
          <w:rFonts w:ascii="Times New Roman" w:cs="Times New Roman" w:eastAsia="Times New Roman" w:hAnsi="Times New Roman"/>
          <w:sz w:val="16"/>
          <w:szCs w:val="16"/>
          <w:b w:val="1"/>
          <w:bCs w:val="1"/>
          <w:color w:val="auto"/>
        </w:rPr>
        <w:t>.</w:t>
      </w:r>
    </w:p>
    <w:p>
      <w:pPr>
        <w:spacing w:after="0" w:line="191" w:lineRule="exact"/>
        <w:rPr>
          <w:sz w:val="20"/>
          <w:szCs w:val="20"/>
          <w:color w:val="auto"/>
        </w:rPr>
      </w:pPr>
    </w:p>
    <w:p>
      <w:pPr>
        <w:jc w:val="both"/>
        <w:ind w:left="5" w:right="20" w:firstLine="1119"/>
        <w:spacing w:after="0" w:line="249" w:lineRule="auto"/>
        <w:rPr>
          <w:sz w:val="20"/>
          <w:szCs w:val="20"/>
          <w:color w:val="auto"/>
        </w:rPr>
      </w:pPr>
      <w:r>
        <w:rPr>
          <w:rFonts w:ascii="Times New Roman" w:cs="Times New Roman" w:eastAsia="Times New Roman" w:hAnsi="Times New Roman"/>
          <w:sz w:val="16"/>
          <w:szCs w:val="16"/>
          <w:color w:val="auto"/>
        </w:rPr>
        <w:t>During the lifetime of the Participant, the Option shall be exercisable only by the Participant or the Participant’s guardian or legal representative. The Option shall not be subject in any manner to anticipation, alienation, sale, exchange, transfer, assignment, pledge, encumbrance, or garnishment by creditors of the Participant or the Participant’s beneficiary, except transfer by will or by the laws of descent and distribution. Following the death of the Participant, the Option, to the extent provided in Section 7, may be exercised by the Participant’s legal representative or by any person empowered to do so under the deceased Participant’s will or under the then applicable laws of descent and distribution.</w:t>
      </w:r>
    </w:p>
    <w:p>
      <w:pPr>
        <w:spacing w:after="0" w:line="164" w:lineRule="exact"/>
        <w:rPr>
          <w:sz w:val="20"/>
          <w:szCs w:val="20"/>
          <w:color w:val="auto"/>
        </w:rPr>
      </w:pPr>
    </w:p>
    <w:p>
      <w:pPr>
        <w:ind w:left="1125" w:hanging="564"/>
        <w:spacing w:after="0"/>
        <w:tabs>
          <w:tab w:leader="none" w:pos="1125" w:val="left"/>
        </w:tabs>
        <w:numPr>
          <w:ilvl w:val="1"/>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TERMINATION OF THE OPTION</w:t>
      </w:r>
      <w:r>
        <w:rPr>
          <w:rFonts w:ascii="Times New Roman" w:cs="Times New Roman" w:eastAsia="Times New Roman" w:hAnsi="Times New Roman"/>
          <w:sz w:val="16"/>
          <w:szCs w:val="16"/>
          <w:b w:val="1"/>
          <w:bCs w:val="1"/>
          <w:color w:val="auto"/>
        </w:rPr>
        <w:t>.</w:t>
      </w:r>
    </w:p>
    <w:p>
      <w:pPr>
        <w:spacing w:after="0" w:line="191" w:lineRule="exact"/>
        <w:rPr>
          <w:rFonts w:ascii="Times New Roman" w:cs="Times New Roman" w:eastAsia="Times New Roman" w:hAnsi="Times New Roman"/>
          <w:sz w:val="16"/>
          <w:szCs w:val="16"/>
          <w:color w:val="auto"/>
        </w:rPr>
      </w:pPr>
    </w:p>
    <w:p>
      <w:pPr>
        <w:ind w:left="112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The Option shall terminate and may no longer be exercised after the first to occur of (a) the close of business on the Option Expiration Date,</w:t>
      </w:r>
    </w:p>
    <w:p>
      <w:pPr>
        <w:spacing w:after="0" w:line="41" w:lineRule="exact"/>
        <w:rPr>
          <w:rFonts w:ascii="Times New Roman" w:cs="Times New Roman" w:eastAsia="Times New Roman" w:hAnsi="Times New Roman"/>
          <w:sz w:val="16"/>
          <w:szCs w:val="16"/>
          <w:color w:val="auto"/>
        </w:rPr>
      </w:pPr>
    </w:p>
    <w:p>
      <w:pPr>
        <w:ind w:left="5" w:right="20" w:hanging="5"/>
        <w:spacing w:after="0" w:line="247" w:lineRule="auto"/>
        <w:tabs>
          <w:tab w:leader="none" w:pos="229"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close of business on the last date for exercising the Option following termination of the Participant’s Service as described in Section 7, or (c) a Change in Control to the extent provided in Section 8.</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308610</wp:posOffset>
            </wp:positionV>
            <wp:extent cx="6306185" cy="222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306185" cy="22225"/>
                    </a:xfrm>
                    <a:prstGeom prst="rect">
                      <a:avLst/>
                    </a:prstGeom>
                    <a:noFill/>
                  </pic:spPr>
                </pic:pic>
              </a:graphicData>
            </a:graphic>
          </wp:anchor>
        </w:drawing>
      </w:r>
    </w:p>
    <w:p>
      <w:pPr>
        <w:sectPr>
          <w:pgSz w:w="11900" w:h="16838" w:orient="portrait"/>
          <w:cols w:equalWidth="0" w:num="1">
            <w:col w:w="9945"/>
          </w:cols>
          <w:pgMar w:left="975" w:top="123" w:right="979" w:bottom="1440" w:gutter="0" w:footer="0" w:header="0"/>
        </w:sectPr>
      </w:pPr>
    </w:p>
    <w:bookmarkStart w:id="76" w:name="page77"/>
    <w:bookmarkEnd w:id="76"/>
    <w:p>
      <w:pPr>
        <w:ind w:left="1120" w:hanging="564"/>
        <w:spacing w:after="0"/>
        <w:tabs>
          <w:tab w:leader="none" w:pos="112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EFFECT OF TERMINATION OF SERVICE</w:t>
      </w:r>
      <w:r>
        <w:rPr>
          <w:rFonts w:ascii="Times New Roman" w:cs="Times New Roman" w:eastAsia="Times New Roman" w:hAnsi="Times New Roman"/>
          <w:sz w:val="16"/>
          <w:szCs w:val="16"/>
          <w:b w:val="1"/>
          <w:bCs w:val="1"/>
          <w:color w:val="auto"/>
        </w:rPr>
        <w:t>.</w:t>
      </w:r>
    </w:p>
    <w:p>
      <w:pPr>
        <w:spacing w:after="0" w:line="189" w:lineRule="exact"/>
        <w:rPr>
          <w:sz w:val="20"/>
          <w:szCs w:val="20"/>
          <w:color w:val="auto"/>
        </w:rPr>
      </w:pPr>
    </w:p>
    <w:p>
      <w:pPr>
        <w:jc w:val="both"/>
        <w:ind w:right="20" w:firstLine="1119"/>
        <w:spacing w:after="0" w:line="257" w:lineRule="auto"/>
        <w:rPr>
          <w:sz w:val="20"/>
          <w:szCs w:val="20"/>
          <w:color w:val="auto"/>
        </w:rPr>
      </w:pPr>
      <w:r>
        <w:rPr>
          <w:rFonts w:ascii="Times New Roman" w:cs="Times New Roman" w:eastAsia="Times New Roman" w:hAnsi="Times New Roman"/>
          <w:sz w:val="16"/>
          <w:szCs w:val="16"/>
          <w:color w:val="auto"/>
        </w:rPr>
        <w:t xml:space="preserve">7.1 </w:t>
      </w:r>
      <w:r>
        <w:rPr>
          <w:rFonts w:ascii="Times New Roman" w:cs="Times New Roman" w:eastAsia="Times New Roman" w:hAnsi="Times New Roman"/>
          <w:sz w:val="16"/>
          <w:szCs w:val="16"/>
          <w:b w:val="1"/>
          <w:bCs w:val="1"/>
          <w:color w:val="auto"/>
        </w:rPr>
        <w:t>Option Exercisability.</w:t>
      </w:r>
      <w:r>
        <w:rPr>
          <w:rFonts w:ascii="Times New Roman" w:cs="Times New Roman" w:eastAsia="Times New Roman" w:hAnsi="Times New Roman"/>
          <w:sz w:val="16"/>
          <w:szCs w:val="16"/>
          <w:color w:val="auto"/>
        </w:rPr>
        <w:t xml:space="preserve"> The Option shall terminate immediately upon the Participant’s termination of Service to the extent that it is then unvested and shall be exercisable after the Participant’s termination of Service to the extent it is then vested only during the applicable time period as determined below and thereafter shall terminate.</w:t>
      </w:r>
    </w:p>
    <w:p>
      <w:pPr>
        <w:spacing w:after="0" w:line="156" w:lineRule="exact"/>
        <w:rPr>
          <w:sz w:val="20"/>
          <w:szCs w:val="20"/>
          <w:color w:val="auto"/>
        </w:rPr>
      </w:pPr>
    </w:p>
    <w:p>
      <w:pPr>
        <w:jc w:val="both"/>
        <w:ind w:right="20" w:firstLine="1675"/>
        <w:spacing w:after="0" w:line="252" w:lineRule="auto"/>
        <w:tabs>
          <w:tab w:leader="none" w:pos="2239"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Disability</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If the Participant’s Service terminates because of the Disability of the Participant, the Option, to the extent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unexercised and exercisable for Vested Shares on the date on which the Participant’s Service terminated, may be exercised by the Participant (or the Participant’s guardian or legal representative) at any time prior to the expiration of twelve (12) months after the date on which the Participant’s Service terminated, but in any event no later than the Option Expiration Date.</w:t>
      </w:r>
    </w:p>
    <w:p>
      <w:pPr>
        <w:spacing w:after="0" w:line="160" w:lineRule="exact"/>
        <w:rPr>
          <w:rFonts w:ascii="Times New Roman" w:cs="Times New Roman" w:eastAsia="Times New Roman" w:hAnsi="Times New Roman"/>
          <w:sz w:val="16"/>
          <w:szCs w:val="16"/>
          <w:color w:val="auto"/>
        </w:rPr>
      </w:pPr>
    </w:p>
    <w:p>
      <w:pPr>
        <w:jc w:val="both"/>
        <w:ind w:firstLine="1675"/>
        <w:spacing w:after="0" w:line="294" w:lineRule="auto"/>
        <w:tabs>
          <w:tab w:leader="none" w:pos="2239"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Death</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If the Participant’s Service terminates because of the death of the Participant, the Option, to the extent unexercised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and exercisable for Vested Shares on the date on which the Participant’s Service terminated, may be exercised by the Participant’s legal representative or other person who acquired the right to exercise the Option by reason of the Participant’s death at any time prior to the expiration of twelve (12) months after the date on which the Participant’s Service terminated, but in any event no later than the Option Expiration Date. The Participant’s Service shall be deemed to have terminated on account of death if the Participant dies within three (3) months after the Participant’s termination of Service.</w:t>
      </w:r>
    </w:p>
    <w:p>
      <w:pPr>
        <w:spacing w:after="0" w:line="134" w:lineRule="exact"/>
        <w:rPr>
          <w:rFonts w:ascii="Times New Roman" w:cs="Times New Roman" w:eastAsia="Times New Roman" w:hAnsi="Times New Roman"/>
          <w:sz w:val="14"/>
          <w:szCs w:val="14"/>
          <w:color w:val="auto"/>
        </w:rPr>
      </w:pPr>
    </w:p>
    <w:p>
      <w:pPr>
        <w:jc w:val="both"/>
        <w:ind w:firstLine="1675"/>
        <w:spacing w:after="0" w:line="252" w:lineRule="auto"/>
        <w:tabs>
          <w:tab w:leader="none" w:pos="2239"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Termination for Cause. </w:t>
      </w:r>
      <w:r>
        <w:rPr>
          <w:rFonts w:ascii="Times New Roman" w:cs="Times New Roman" w:eastAsia="Times New Roman" w:hAnsi="Times New Roman"/>
          <w:sz w:val="16"/>
          <w:szCs w:val="16"/>
          <w:color w:val="auto"/>
        </w:rPr>
        <w:t>Notwithstanding any other provision of this Option Agreement to the contrary, if the Participant’s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Service is terminated for Cause or if, following the Participant’s termination of Service and during any period in which the Option otherwise would remain exercisable, the Participant engages in any act that would constitute Cause, the Option shall terminate in its entirety and cease to be exercisable immediately upon such termination of Service or act.</w:t>
      </w:r>
    </w:p>
    <w:p>
      <w:pPr>
        <w:spacing w:after="0" w:line="160" w:lineRule="exact"/>
        <w:rPr>
          <w:rFonts w:ascii="Times New Roman" w:cs="Times New Roman" w:eastAsia="Times New Roman" w:hAnsi="Times New Roman"/>
          <w:sz w:val="16"/>
          <w:szCs w:val="16"/>
          <w:color w:val="auto"/>
        </w:rPr>
      </w:pPr>
    </w:p>
    <w:p>
      <w:pPr>
        <w:jc w:val="both"/>
        <w:ind w:firstLine="1675"/>
        <w:spacing w:after="0" w:line="252" w:lineRule="auto"/>
        <w:tabs>
          <w:tab w:leader="none" w:pos="2239"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Other Termination of Service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If the Participant’s Service terminates for any reason, except Disability, death or Cause,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Option, to the extent unexercised and exercisable for Vested Shares by the Participant on the date on which the Participant’s Service terminated, may be exercised by the Participant at any time prior to the expiration of three (3) months after the date on which the Participant’s Service terminated, but in any event no later than the Option Expiration Date.</w:t>
      </w:r>
    </w:p>
    <w:p>
      <w:pPr>
        <w:spacing w:after="0" w:line="161" w:lineRule="exact"/>
        <w:rPr>
          <w:sz w:val="20"/>
          <w:szCs w:val="20"/>
          <w:color w:val="auto"/>
        </w:rPr>
      </w:pPr>
    </w:p>
    <w:p>
      <w:pPr>
        <w:jc w:val="both"/>
        <w:ind w:right="20" w:firstLine="1119"/>
        <w:spacing w:after="0" w:line="252" w:lineRule="auto"/>
        <w:rPr>
          <w:sz w:val="20"/>
          <w:szCs w:val="20"/>
          <w:color w:val="auto"/>
        </w:rPr>
      </w:pPr>
      <w:r>
        <w:rPr>
          <w:rFonts w:ascii="Times New Roman" w:cs="Times New Roman" w:eastAsia="Times New Roman" w:hAnsi="Times New Roman"/>
          <w:sz w:val="16"/>
          <w:szCs w:val="16"/>
          <w:color w:val="auto"/>
        </w:rPr>
        <w:t xml:space="preserve">7.2 </w:t>
      </w:r>
      <w:r>
        <w:rPr>
          <w:rFonts w:ascii="Times New Roman" w:cs="Times New Roman" w:eastAsia="Times New Roman" w:hAnsi="Times New Roman"/>
          <w:sz w:val="16"/>
          <w:szCs w:val="16"/>
          <w:b w:val="1"/>
          <w:bCs w:val="1"/>
          <w:color w:val="auto"/>
        </w:rPr>
        <w:t>Extension if Exercise Prevented by Law</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Notwithstanding the foregoing, other than termination of the Participant’s Service for Cause, if the exercise of the Option within the applicable time periods set forth in Section 7.1 is prevented by the provisions of Section 4.6, the Option shall remain exercisable until the later of (a) thirty (30) days after the date such exercise first would no longer be prevented by such provisions, or (b) the end of the applicable time period under Section 7.1, but in any event no later than the Option Expiration Date.</w:t>
      </w:r>
    </w:p>
    <w:p>
      <w:pPr>
        <w:spacing w:after="0" w:line="161" w:lineRule="exact"/>
        <w:rPr>
          <w:sz w:val="20"/>
          <w:szCs w:val="20"/>
          <w:color w:val="auto"/>
        </w:rPr>
      </w:pPr>
    </w:p>
    <w:p>
      <w:pPr>
        <w:ind w:left="1120" w:hanging="564"/>
        <w:spacing w:after="0"/>
        <w:tabs>
          <w:tab w:leader="none" w:pos="112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EFFECT OF CHANGE IN CONTROL</w:t>
      </w:r>
      <w:r>
        <w:rPr>
          <w:rFonts w:ascii="Times New Roman" w:cs="Times New Roman" w:eastAsia="Times New Roman" w:hAnsi="Times New Roman"/>
          <w:sz w:val="16"/>
          <w:szCs w:val="16"/>
          <w:b w:val="1"/>
          <w:bCs w:val="1"/>
          <w:color w:val="auto"/>
        </w:rPr>
        <w:t>.</w:t>
      </w:r>
    </w:p>
    <w:p>
      <w:pPr>
        <w:spacing w:after="0" w:line="191" w:lineRule="exact"/>
        <w:rPr>
          <w:sz w:val="20"/>
          <w:szCs w:val="20"/>
          <w:color w:val="auto"/>
        </w:rPr>
      </w:pPr>
    </w:p>
    <w:p>
      <w:pPr>
        <w:ind w:right="20" w:firstLine="1119"/>
        <w:spacing w:after="0" w:line="267" w:lineRule="auto"/>
        <w:rPr>
          <w:sz w:val="20"/>
          <w:szCs w:val="20"/>
          <w:color w:val="auto"/>
        </w:rPr>
      </w:pPr>
      <w:r>
        <w:rPr>
          <w:rFonts w:ascii="Times New Roman" w:cs="Times New Roman" w:eastAsia="Times New Roman" w:hAnsi="Times New Roman"/>
          <w:sz w:val="16"/>
          <w:szCs w:val="16"/>
          <w:color w:val="auto"/>
        </w:rPr>
        <w:t>In the event of a Change in Control, the Option shall be subject to the definitive agreement entered into by the Company in connection with the Change in Control. Except to the extent that the Committee determines to cash out the Option in accordance with the terms of the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308610</wp:posOffset>
            </wp:positionV>
            <wp:extent cx="6306185" cy="222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06185" cy="22225"/>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77" w:name="page78"/>
    <w:bookmarkEnd w:id="77"/>
    <w:p>
      <w:pPr>
        <w:jc w:val="both"/>
        <w:spacing w:after="0" w:line="246" w:lineRule="auto"/>
        <w:rPr>
          <w:sz w:val="20"/>
          <w:szCs w:val="20"/>
          <w:color w:val="auto"/>
        </w:rPr>
      </w:pPr>
      <w:r>
        <w:rPr>
          <w:rFonts w:ascii="Times New Roman" w:cs="Times New Roman" w:eastAsia="Times New Roman" w:hAnsi="Times New Roman"/>
          <w:sz w:val="16"/>
          <w:szCs w:val="16"/>
          <w:color w:val="auto"/>
        </w:rPr>
        <w:t xml:space="preserve">Plan, the surviving, continuing, successor, or purchasing entity or parent thereof, as the case may be (the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Acquiror</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may, without the consent of the Participant, assume or continue in full force and effect the Company’s rights and obligations under all or any portion of the Option or substitute for all or any portion of the Option a substantially equivalent option for the Acquiror’s stock. For purposes of this Section, the Option or any portion thereof shall be deemed assumed if, following the Change in Control, the Option confers the right to receive, subject to the terms and conditions of the Plan and this Option Agreement, for each share of Stock subject to such portion of the Option immediately prior to the Change in Control, the consideration (whether stock, cash, other securities or property or a combination thereof) to which a holder of a share of Stock on the effective date of the Change in Control was entitled (and if holders were offered a choice of consideration, the type of consideration chosen by the holders of a majority of the outstanding shares of Stock); provided, however, that if such consideration is not solely common stock of the Acquiror, the Committee may, with the consent of the Acquiror, provide for the consideration to be received upon the exercise of the Option, for each share of Stock subject to the Option, to consist solely of common stock of the Acquiror equal in Fair Market Value to the per share consideration received by holders of Stock pursuant to the Change in Control. The Option shall terminate and cease to be outstanding effective as of the time of consummation of the Change in Control to the extent that the Option is neither assumed or continued by the Acquiror in connection with the Change in Control nor exercised as of the time of the Change in Control.</w:t>
      </w:r>
    </w:p>
    <w:p>
      <w:pPr>
        <w:spacing w:after="0" w:line="164" w:lineRule="exact"/>
        <w:rPr>
          <w:sz w:val="20"/>
          <w:szCs w:val="20"/>
          <w:color w:val="auto"/>
        </w:rPr>
      </w:pPr>
    </w:p>
    <w:p>
      <w:pPr>
        <w:ind w:left="1120" w:hanging="564"/>
        <w:spacing w:after="0"/>
        <w:tabs>
          <w:tab w:leader="none" w:pos="112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ADJUSTMENTS FOR CHANGES IN CAPITAL STRUCTURE</w:t>
      </w:r>
      <w:r>
        <w:rPr>
          <w:rFonts w:ascii="Times New Roman" w:cs="Times New Roman" w:eastAsia="Times New Roman" w:hAnsi="Times New Roman"/>
          <w:sz w:val="16"/>
          <w:szCs w:val="16"/>
          <w:b w:val="1"/>
          <w:bCs w:val="1"/>
          <w:color w:val="auto"/>
        </w:rPr>
        <w:t>.</w:t>
      </w:r>
    </w:p>
    <w:p>
      <w:pPr>
        <w:spacing w:after="0" w:line="191" w:lineRule="exact"/>
        <w:rPr>
          <w:sz w:val="20"/>
          <w:szCs w:val="20"/>
          <w:color w:val="auto"/>
        </w:rPr>
      </w:pPr>
    </w:p>
    <w:p>
      <w:pPr>
        <w:jc w:val="both"/>
        <w:ind w:firstLine="1119"/>
        <w:spacing w:after="0" w:line="284" w:lineRule="auto"/>
        <w:rPr>
          <w:sz w:val="20"/>
          <w:szCs w:val="20"/>
          <w:color w:val="auto"/>
        </w:rPr>
      </w:pPr>
      <w:r>
        <w:rPr>
          <w:rFonts w:ascii="Times New Roman" w:cs="Times New Roman" w:eastAsia="Times New Roman" w:hAnsi="Times New Roman"/>
          <w:sz w:val="14"/>
          <w:szCs w:val="14"/>
          <w:color w:val="auto"/>
        </w:rPr>
        <w:t>Subject to any required action by the stockholders of the Company and the requirements of Sections 409A and 424 of the Code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(excepting normal cash dividends) that has a material effect on the Fair Market Value of shares of Stock, appropriate and proportionate adjustments shall be made in the number, Exercise Price and kind of shares subject to the Option, in order to prevent dilution or enlargement of the Participant’s rights under the Option. For purposes of the foregoing, conversion of any convertible securities of the Company shall not be treated as “effected without receipt of consideration by the Company.” Any fractional share resulting from an adjustment pursuant to this Section shall be rounded down to the nearest whole number and the Exercise Price shall be rounded up to the nearest whole cent. In no event may the Exercise Price be decreased to an amount less than the par value, if any, of the stock subject to the Option. The Committee in its sole discretion, may also make such adjustments in the terms of the Option to reflect, or related to, such changes in the capital structure of the Company or distributions as it deems appropriate. All adjustments pursuant to this Section shall be determined by the Committee, and its determination shall be final, binding and conclusive.</w:t>
      </w:r>
    </w:p>
    <w:p>
      <w:pPr>
        <w:spacing w:after="0" w:line="330" w:lineRule="exact"/>
        <w:rPr>
          <w:sz w:val="20"/>
          <w:szCs w:val="20"/>
          <w:color w:val="auto"/>
        </w:rPr>
      </w:pPr>
    </w:p>
    <w:p>
      <w:pPr>
        <w:ind w:left="1120" w:hanging="564"/>
        <w:spacing w:after="0"/>
        <w:tabs>
          <w:tab w:leader="none" w:pos="112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RIGHTS AS A STOCKHOLDER, DIRECTOR, EMPLOYEE OR CONSULTANT</w:t>
      </w:r>
      <w:r>
        <w:rPr>
          <w:rFonts w:ascii="Times New Roman" w:cs="Times New Roman" w:eastAsia="Times New Roman" w:hAnsi="Times New Roman"/>
          <w:sz w:val="16"/>
          <w:szCs w:val="16"/>
          <w:b w:val="1"/>
          <w:bCs w:val="1"/>
          <w:color w:val="auto"/>
        </w:rPr>
        <w:t>.</w:t>
      </w:r>
    </w:p>
    <w:p>
      <w:pPr>
        <w:spacing w:after="0" w:line="191" w:lineRule="exact"/>
        <w:rPr>
          <w:sz w:val="20"/>
          <w:szCs w:val="20"/>
          <w:color w:val="auto"/>
        </w:rPr>
      </w:pPr>
    </w:p>
    <w:p>
      <w:pPr>
        <w:ind w:right="20" w:firstLine="1119"/>
        <w:spacing w:after="0" w:line="267" w:lineRule="auto"/>
        <w:rPr>
          <w:sz w:val="20"/>
          <w:szCs w:val="20"/>
          <w:color w:val="auto"/>
        </w:rPr>
      </w:pPr>
      <w:r>
        <w:rPr>
          <w:rFonts w:ascii="Times New Roman" w:cs="Times New Roman" w:eastAsia="Times New Roman" w:hAnsi="Times New Roman"/>
          <w:sz w:val="16"/>
          <w:szCs w:val="16"/>
          <w:color w:val="auto"/>
        </w:rPr>
        <w:t>The Participant shall have no rights as a stockholder with respect to any shares covered by the Option until the date of the issuance of the shares for which the Option has been exercised (as evidenced by the appropriate entry on the books of the Company or of a duly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308610</wp:posOffset>
            </wp:positionV>
            <wp:extent cx="6306185" cy="222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306185" cy="22225"/>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78" w:name="page79"/>
    <w:bookmarkEnd w:id="78"/>
    <w:p>
      <w:pPr>
        <w:jc w:val="both"/>
        <w:ind w:right="20"/>
        <w:spacing w:after="0" w:line="248" w:lineRule="auto"/>
        <w:rPr>
          <w:sz w:val="20"/>
          <w:szCs w:val="20"/>
          <w:color w:val="auto"/>
        </w:rPr>
      </w:pPr>
      <w:r>
        <w:rPr>
          <w:rFonts w:ascii="Times New Roman" w:cs="Times New Roman" w:eastAsia="Times New Roman" w:hAnsi="Times New Roman"/>
          <w:sz w:val="16"/>
          <w:szCs w:val="16"/>
          <w:color w:val="auto"/>
        </w:rPr>
        <w:t>authorized transfer agent of the Company). No adjustment shall be made for dividends, distributions or other rights for which the record date is prior to the date the shares are issued, except as provided in Section 9. If the Participant is an Employee, the Participant understands and acknowledges that, except as otherwise provided in a separate, written employment agreement between a Participating Company and the Participant, the Participant’s employment is “at will” and is for no specified term. Nothing in this Option Agreement shall confer upon the Participant any right to continue in the Service of a Participating Company or interfere in any way with any right of the Participating Company Group to terminate the Participant’s Service as a Director, an Employee or Consultant, as the case may be, at any time.</w:t>
      </w:r>
    </w:p>
    <w:p>
      <w:pPr>
        <w:spacing w:after="0" w:line="164" w:lineRule="exact"/>
        <w:rPr>
          <w:sz w:val="20"/>
          <w:szCs w:val="20"/>
          <w:color w:val="auto"/>
        </w:rPr>
      </w:pPr>
    </w:p>
    <w:p>
      <w:pPr>
        <w:ind w:left="1120" w:hanging="564"/>
        <w:spacing w:after="0"/>
        <w:tabs>
          <w:tab w:leader="none" w:pos="112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NOTICE OF SALES UPON DISQUALIFYING DISPOSITION</w:t>
      </w:r>
      <w:r>
        <w:rPr>
          <w:rFonts w:ascii="Times New Roman" w:cs="Times New Roman" w:eastAsia="Times New Roman" w:hAnsi="Times New Roman"/>
          <w:sz w:val="16"/>
          <w:szCs w:val="16"/>
          <w:b w:val="1"/>
          <w:bCs w:val="1"/>
          <w:color w:val="auto"/>
        </w:rPr>
        <w:t>.</w:t>
      </w:r>
    </w:p>
    <w:p>
      <w:pPr>
        <w:spacing w:after="0" w:line="191" w:lineRule="exact"/>
        <w:rPr>
          <w:sz w:val="20"/>
          <w:szCs w:val="20"/>
          <w:color w:val="auto"/>
        </w:rPr>
      </w:pPr>
    </w:p>
    <w:p>
      <w:pPr>
        <w:jc w:val="both"/>
        <w:ind w:firstLine="1119"/>
        <w:spacing w:after="0" w:line="285" w:lineRule="auto"/>
        <w:rPr>
          <w:sz w:val="20"/>
          <w:szCs w:val="20"/>
          <w:color w:val="auto"/>
        </w:rPr>
      </w:pPr>
      <w:r>
        <w:rPr>
          <w:rFonts w:ascii="Times New Roman" w:cs="Times New Roman" w:eastAsia="Times New Roman" w:hAnsi="Times New Roman"/>
          <w:sz w:val="14"/>
          <w:szCs w:val="14"/>
          <w:color w:val="auto"/>
        </w:rPr>
        <w:t xml:space="preserve">The Participant shall dispose of the shares acquired pursuant to the Option only in accordance with the provisions of this Option Agreement. In addition, </w:t>
      </w:r>
      <w:r>
        <w:rPr>
          <w:rFonts w:ascii="Times New Roman" w:cs="Times New Roman" w:eastAsia="Times New Roman" w:hAnsi="Times New Roman"/>
          <w:sz w:val="14"/>
          <w:szCs w:val="14"/>
          <w:i w:val="1"/>
          <w:iCs w:val="1"/>
          <w:color w:val="auto"/>
        </w:rPr>
        <w:t>if the Grant Notice designates this Option as an Incentive Stock Option,</w:t>
      </w:r>
      <w:r>
        <w:rPr>
          <w:rFonts w:ascii="Times New Roman" w:cs="Times New Roman" w:eastAsia="Times New Roman" w:hAnsi="Times New Roman"/>
          <w:sz w:val="14"/>
          <w:szCs w:val="14"/>
          <w:color w:val="auto"/>
        </w:rPr>
        <w:t xml:space="preserve"> the Participant shall (a) promptly notify the Chief Financial Officer of the Company if the Participant disposes of any of the shares acquired pursuant to the Option within one (1) year after the date the Participant exercises all or part of the Option or within two (2) years after the Date of Grant and (b) provide the Company with a description of the circumstances of such disposition. Until such time as the Participant disposes of such shares in a manner consistent with the provisions of this Option Agreement, unless otherwise expressly authorized by the Company, the Participant shall hold all shares acquired pursuant to the Option in the Participant’s name (and not in the name of any nominee) for the one- year period immediately after the exercise of the Option and the two-year period immediately after Date of Grant. At any time during the one-year or two-year periods set forth above, the Company may place a legend on any certificate representing shares acquired pursuant to the Option requesting the transfer agent for the Company’s stock to notify the Company of any such transfers. The obligation of the Participant to notify the Company of any such transfer shall continue notwithstanding that a legend has been placed on the certificate pursuant to the preceding sentence.</w:t>
      </w:r>
    </w:p>
    <w:p>
      <w:pPr>
        <w:spacing w:after="0" w:line="331" w:lineRule="exact"/>
        <w:rPr>
          <w:sz w:val="20"/>
          <w:szCs w:val="20"/>
          <w:color w:val="auto"/>
        </w:rPr>
      </w:pPr>
    </w:p>
    <w:p>
      <w:pPr>
        <w:ind w:left="1120" w:hanging="564"/>
        <w:spacing w:after="0"/>
        <w:tabs>
          <w:tab w:leader="none" w:pos="112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LEGENDS</w:t>
      </w:r>
      <w:r>
        <w:rPr>
          <w:rFonts w:ascii="Times New Roman" w:cs="Times New Roman" w:eastAsia="Times New Roman" w:hAnsi="Times New Roman"/>
          <w:sz w:val="16"/>
          <w:szCs w:val="16"/>
          <w:b w:val="1"/>
          <w:bCs w:val="1"/>
          <w:color w:val="auto"/>
        </w:rPr>
        <w:t>.</w:t>
      </w:r>
    </w:p>
    <w:p>
      <w:pPr>
        <w:spacing w:after="0" w:line="191" w:lineRule="exact"/>
        <w:rPr>
          <w:sz w:val="20"/>
          <w:szCs w:val="20"/>
          <w:color w:val="auto"/>
        </w:rPr>
      </w:pPr>
    </w:p>
    <w:p>
      <w:pPr>
        <w:jc w:val="both"/>
        <w:ind w:firstLine="1119"/>
        <w:spacing w:after="0" w:line="299" w:lineRule="auto"/>
        <w:rPr>
          <w:sz w:val="20"/>
          <w:szCs w:val="20"/>
          <w:color w:val="auto"/>
        </w:rPr>
      </w:pPr>
      <w:r>
        <w:rPr>
          <w:rFonts w:ascii="Times New Roman" w:cs="Times New Roman" w:eastAsia="Times New Roman" w:hAnsi="Times New Roman"/>
          <w:sz w:val="14"/>
          <w:szCs w:val="14"/>
          <w:color w:val="auto"/>
        </w:rPr>
        <w:t>The Company may at any time place legends referencing any applicable federal, state or foreign securities law restrictions on all certificates representing shares of stock subject to the provisions of this Option Agreement. The Participant shall, at the request of the Company, promptly present to the Company any and all certificates representing shares acquired pursuant to the Option in the possession of the Participant in order to carry out the provisions of this Section. Unless otherwise specified by the Company, legends placed on such certificates may include, but shall not be limited to, the following:</w:t>
      </w:r>
    </w:p>
    <w:p>
      <w:pPr>
        <w:spacing w:after="0" w:line="131" w:lineRule="exact"/>
        <w:rPr>
          <w:sz w:val="20"/>
          <w:szCs w:val="20"/>
          <w:color w:val="auto"/>
        </w:rPr>
      </w:pPr>
    </w:p>
    <w:p>
      <w:pPr>
        <w:jc w:val="both"/>
        <w:ind w:left="1120" w:right="20"/>
        <w:spacing w:after="0" w:line="248" w:lineRule="auto"/>
        <w:rPr>
          <w:sz w:val="20"/>
          <w:szCs w:val="20"/>
          <w:color w:val="auto"/>
        </w:rPr>
      </w:pPr>
      <w:r>
        <w:rPr>
          <w:rFonts w:ascii="Times New Roman" w:cs="Times New Roman" w:eastAsia="Times New Roman" w:hAnsi="Times New Roman"/>
          <w:sz w:val="16"/>
          <w:szCs w:val="16"/>
          <w:color w:val="auto"/>
        </w:rPr>
        <w:t>“THE SHARES EVIDENCED BY THIS CERTIFICATE WERE ISSUED BY THE CORPORATION TO THE REGISTERED HOLDER UPON EXERCISE OF AN INCENTIVE STOCK OPTION AS DEFINED IN SECTION 422 OF THE INTERNAL REVENUE CODE OF 1986, AS AMENDED (“ISO</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IN ORDER TO OBTAIN THE PREFERENTIAL TAX TREATMENT AFFORDED TO ISOs, THE SHARES SHOULD NOT BE TRANSFERRED PRIOR TO [</w:t>
      </w:r>
      <w:r>
        <w:rPr>
          <w:rFonts w:ascii="Times New Roman" w:cs="Times New Roman" w:eastAsia="Times New Roman" w:hAnsi="Times New Roman"/>
          <w:sz w:val="16"/>
          <w:szCs w:val="16"/>
          <w:i w:val="1"/>
          <w:iCs w:val="1"/>
          <w:color w:val="auto"/>
        </w:rPr>
        <w:t>INSERT DISQUALIFYING DISPOSITION DATE HERE</w:t>
      </w:r>
      <w:r>
        <w:rPr>
          <w:rFonts w:ascii="Times New Roman" w:cs="Times New Roman" w:eastAsia="Times New Roman" w:hAnsi="Times New Roman"/>
          <w:sz w:val="16"/>
          <w:szCs w:val="16"/>
          <w:color w:val="auto"/>
        </w:rPr>
        <w:t>]. SHOULD THE REGISTERED HOLDER ELECT TO TRANSFER ANY OF THE SHARES PRIOR TO THIS DATE AND FOREGO ISO TAX TREATMENT, THE TRANSFER AGENT FOR</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308610</wp:posOffset>
            </wp:positionV>
            <wp:extent cx="6306185" cy="222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06185" cy="22225"/>
                    </a:xfrm>
                    <a:prstGeom prst="rect">
                      <a:avLst/>
                    </a:prstGeom>
                    <a:noFill/>
                  </pic:spPr>
                </pic:pic>
              </a:graphicData>
            </a:graphic>
          </wp:anchor>
        </w:drawing>
      </w:r>
    </w:p>
    <w:p>
      <w:pPr>
        <w:sectPr>
          <w:pgSz w:w="11900" w:h="16838" w:orient="portrait"/>
          <w:cols w:equalWidth="0" w:num="1">
            <w:col w:w="9940"/>
          </w:cols>
          <w:pgMar w:left="980" w:top="123" w:right="979" w:bottom="1440" w:gutter="0" w:footer="0" w:header="0"/>
        </w:sectPr>
      </w:pPr>
    </w:p>
    <w:bookmarkStart w:id="79" w:name="page80"/>
    <w:bookmarkEnd w:id="79"/>
    <w:p>
      <w:pPr>
        <w:jc w:val="both"/>
        <w:ind w:left="1120" w:right="20"/>
        <w:spacing w:after="0" w:line="255" w:lineRule="auto"/>
        <w:rPr>
          <w:sz w:val="20"/>
          <w:szCs w:val="20"/>
          <w:color w:val="auto"/>
        </w:rPr>
      </w:pPr>
      <w:r>
        <w:rPr>
          <w:rFonts w:ascii="Times New Roman" w:cs="Times New Roman" w:eastAsia="Times New Roman" w:hAnsi="Times New Roman"/>
          <w:sz w:val="16"/>
          <w:szCs w:val="16"/>
          <w:color w:val="auto"/>
        </w:rPr>
        <w:t>THE SHARES SHALL NOTIFY THE CORPORATION IMMEDIATELY. THE REGISTERED HOLDER SHALL HOLD ALL SHARES PURCHASED UNDER THE INCENTIVE STOCK OPTION IN THE REGISTERED HOLDER’S NAME (AND NOT IN THE NAME OF ANY NOMINEE) PRIOR TO THIS DATE OR UNTIL TRANSFERRED AS DESCRIBED ABOVE.”</w:t>
      </w:r>
    </w:p>
    <w:p>
      <w:pPr>
        <w:spacing w:after="0" w:line="158" w:lineRule="exact"/>
        <w:rPr>
          <w:sz w:val="20"/>
          <w:szCs w:val="20"/>
          <w:color w:val="auto"/>
        </w:rPr>
      </w:pPr>
    </w:p>
    <w:p>
      <w:pPr>
        <w:ind w:left="1120" w:hanging="564"/>
        <w:spacing w:after="0"/>
        <w:tabs>
          <w:tab w:leader="none" w:pos="112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MISCELLANEOUS PROVISIONS</w:t>
      </w:r>
      <w:r>
        <w:rPr>
          <w:rFonts w:ascii="Times New Roman" w:cs="Times New Roman" w:eastAsia="Times New Roman" w:hAnsi="Times New Roman"/>
          <w:sz w:val="16"/>
          <w:szCs w:val="16"/>
          <w:b w:val="1"/>
          <w:bCs w:val="1"/>
          <w:color w:val="auto"/>
        </w:rPr>
        <w:t>.</w:t>
      </w:r>
    </w:p>
    <w:p>
      <w:pPr>
        <w:spacing w:after="0" w:line="189" w:lineRule="exact"/>
        <w:rPr>
          <w:sz w:val="20"/>
          <w:szCs w:val="20"/>
          <w:color w:val="auto"/>
        </w:rPr>
      </w:pPr>
    </w:p>
    <w:p>
      <w:pPr>
        <w:jc w:val="both"/>
        <w:ind w:firstLine="1119"/>
        <w:spacing w:after="0" w:line="252" w:lineRule="auto"/>
        <w:rPr>
          <w:sz w:val="20"/>
          <w:szCs w:val="20"/>
          <w:color w:val="auto"/>
        </w:rPr>
      </w:pPr>
      <w:r>
        <w:rPr>
          <w:rFonts w:ascii="Times New Roman" w:cs="Times New Roman" w:eastAsia="Times New Roman" w:hAnsi="Times New Roman"/>
          <w:sz w:val="16"/>
          <w:szCs w:val="16"/>
          <w:color w:val="auto"/>
        </w:rPr>
        <w:t xml:space="preserve">13.1 </w:t>
      </w:r>
      <w:r>
        <w:rPr>
          <w:rFonts w:ascii="Times New Roman" w:cs="Times New Roman" w:eastAsia="Times New Roman" w:hAnsi="Times New Roman"/>
          <w:sz w:val="16"/>
          <w:szCs w:val="16"/>
          <w:b w:val="1"/>
          <w:bCs w:val="1"/>
          <w:color w:val="auto"/>
        </w:rPr>
        <w:t>Termination or Amendment.</w:t>
      </w:r>
      <w:r>
        <w:rPr>
          <w:rFonts w:ascii="Times New Roman" w:cs="Times New Roman" w:eastAsia="Times New Roman" w:hAnsi="Times New Roman"/>
          <w:sz w:val="16"/>
          <w:szCs w:val="16"/>
          <w:color w:val="auto"/>
        </w:rPr>
        <w:t xml:space="preserve"> The Committee may terminate or amend the Plan or the Option at any time; provided, however, that except as provided in Section 8 in connection with a Change in Control, no such termination or amendment may have a materially adverse effect on the Option or any unexercised portion thereof without the consent of the Participant unless such termination or amendment is necessary to comply with any applicable law or government regulation. No amendment or addition to this Option Agreement shall be effective unless in writing.</w:t>
      </w:r>
    </w:p>
    <w:p>
      <w:pPr>
        <w:spacing w:after="0" w:line="161" w:lineRule="exact"/>
        <w:rPr>
          <w:sz w:val="20"/>
          <w:szCs w:val="20"/>
          <w:color w:val="auto"/>
        </w:rPr>
      </w:pPr>
    </w:p>
    <w:p>
      <w:pPr>
        <w:jc w:val="both"/>
        <w:ind w:firstLine="1119"/>
        <w:spacing w:after="0" w:line="270" w:lineRule="auto"/>
        <w:rPr>
          <w:sz w:val="20"/>
          <w:szCs w:val="20"/>
          <w:color w:val="auto"/>
        </w:rPr>
      </w:pPr>
      <w:r>
        <w:rPr>
          <w:rFonts w:ascii="Times New Roman" w:cs="Times New Roman" w:eastAsia="Times New Roman" w:hAnsi="Times New Roman"/>
          <w:sz w:val="16"/>
          <w:szCs w:val="16"/>
          <w:color w:val="auto"/>
        </w:rPr>
        <w:t xml:space="preserve">13.2 </w:t>
      </w:r>
      <w:r>
        <w:rPr>
          <w:rFonts w:ascii="Times New Roman" w:cs="Times New Roman" w:eastAsia="Times New Roman" w:hAnsi="Times New Roman"/>
          <w:sz w:val="16"/>
          <w:szCs w:val="16"/>
          <w:b w:val="1"/>
          <w:bCs w:val="1"/>
          <w:color w:val="auto"/>
        </w:rPr>
        <w:t>Further Instruments.</w:t>
      </w:r>
      <w:r>
        <w:rPr>
          <w:rFonts w:ascii="Times New Roman" w:cs="Times New Roman" w:eastAsia="Times New Roman" w:hAnsi="Times New Roman"/>
          <w:sz w:val="16"/>
          <w:szCs w:val="16"/>
          <w:color w:val="auto"/>
        </w:rPr>
        <w:t xml:space="preserve"> The parties hereto agree to execute such further instruments and to take such further action as may reasonably be necessary to carry out the intent of this Option Agreement.</w:t>
      </w:r>
    </w:p>
    <w:p>
      <w:pPr>
        <w:spacing w:after="0" w:line="146" w:lineRule="exact"/>
        <w:rPr>
          <w:sz w:val="20"/>
          <w:szCs w:val="20"/>
          <w:color w:val="auto"/>
        </w:rPr>
      </w:pPr>
    </w:p>
    <w:p>
      <w:pPr>
        <w:jc w:val="both"/>
        <w:ind w:right="20" w:firstLine="1119"/>
        <w:spacing w:after="0" w:line="270" w:lineRule="auto"/>
        <w:rPr>
          <w:sz w:val="20"/>
          <w:szCs w:val="20"/>
          <w:color w:val="auto"/>
        </w:rPr>
      </w:pPr>
      <w:r>
        <w:rPr>
          <w:rFonts w:ascii="Times New Roman" w:cs="Times New Roman" w:eastAsia="Times New Roman" w:hAnsi="Times New Roman"/>
          <w:sz w:val="16"/>
          <w:szCs w:val="16"/>
          <w:color w:val="auto"/>
        </w:rPr>
        <w:t xml:space="preserve">13.3 </w:t>
      </w:r>
      <w:r>
        <w:rPr>
          <w:rFonts w:ascii="Times New Roman" w:cs="Times New Roman" w:eastAsia="Times New Roman" w:hAnsi="Times New Roman"/>
          <w:sz w:val="16"/>
          <w:szCs w:val="16"/>
          <w:b w:val="1"/>
          <w:bCs w:val="1"/>
          <w:color w:val="auto"/>
        </w:rPr>
        <w:t>Binding Effect.</w:t>
      </w:r>
      <w:r>
        <w:rPr>
          <w:rFonts w:ascii="Times New Roman" w:cs="Times New Roman" w:eastAsia="Times New Roman" w:hAnsi="Times New Roman"/>
          <w:sz w:val="16"/>
          <w:szCs w:val="16"/>
          <w:color w:val="auto"/>
        </w:rPr>
        <w:t xml:space="preserve"> This Option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146" w:lineRule="exact"/>
        <w:rPr>
          <w:sz w:val="20"/>
          <w:szCs w:val="20"/>
          <w:color w:val="auto"/>
        </w:rPr>
      </w:pPr>
    </w:p>
    <w:p>
      <w:pPr>
        <w:jc w:val="both"/>
        <w:ind w:right="20" w:firstLine="1119"/>
        <w:spacing w:after="0" w:line="248" w:lineRule="auto"/>
        <w:rPr>
          <w:sz w:val="20"/>
          <w:szCs w:val="20"/>
          <w:color w:val="auto"/>
        </w:rPr>
      </w:pPr>
      <w:r>
        <w:rPr>
          <w:rFonts w:ascii="Times New Roman" w:cs="Times New Roman" w:eastAsia="Times New Roman" w:hAnsi="Times New Roman"/>
          <w:sz w:val="16"/>
          <w:szCs w:val="16"/>
          <w:color w:val="auto"/>
        </w:rPr>
        <w:t xml:space="preserve">13.4 </w:t>
      </w:r>
      <w:r>
        <w:rPr>
          <w:rFonts w:ascii="Times New Roman" w:cs="Times New Roman" w:eastAsia="Times New Roman" w:hAnsi="Times New Roman"/>
          <w:sz w:val="16"/>
          <w:szCs w:val="16"/>
          <w:b w:val="1"/>
          <w:bCs w:val="1"/>
          <w:color w:val="auto"/>
        </w:rPr>
        <w:t>Delivery of Documents and Notices.</w:t>
      </w:r>
      <w:r>
        <w:rPr>
          <w:rFonts w:ascii="Times New Roman" w:cs="Times New Roman" w:eastAsia="Times New Roman" w:hAnsi="Times New Roman"/>
          <w:sz w:val="16"/>
          <w:szCs w:val="16"/>
          <w:color w:val="auto"/>
        </w:rPr>
        <w:t xml:space="preserve"> Any document relating to participation in the Plan or any notice required or permitted hereunder shall be given in writing and shall be deemed effectively given (except to the extent that this Option Agreement provides for effectiveness only upon actual receipt of such notice) upon personal delivery, electronic delivery at the e-mail address, if any, provided for the Participant by a Participating Company, or upon deposit in the U.S. Post Office or foreign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spacing w:after="0" w:line="166" w:lineRule="exact"/>
        <w:rPr>
          <w:sz w:val="20"/>
          <w:szCs w:val="20"/>
          <w:color w:val="auto"/>
        </w:rPr>
      </w:pPr>
    </w:p>
    <w:p>
      <w:pPr>
        <w:jc w:val="both"/>
        <w:ind w:firstLine="1675"/>
        <w:spacing w:after="0" w:line="248" w:lineRule="auto"/>
        <w:tabs>
          <w:tab w:leader="none" w:pos="2239"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Description of Electronic Delivery and Signature. </w:t>
      </w:r>
      <w:r>
        <w:rPr>
          <w:rFonts w:ascii="Times New Roman" w:cs="Times New Roman" w:eastAsia="Times New Roman" w:hAnsi="Times New Roman"/>
          <w:sz w:val="16"/>
          <w:szCs w:val="16"/>
          <w:color w:val="auto"/>
        </w:rPr>
        <w:t>The Plan documents, which may include but do not necessarily include: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Plan, the Grant Notice, this Option Agreement, the Plan Prospectus, and any reports of the Company provided generally to the Company’s stockholders, may be delivered to the Participant electronically. In addition, if permitted by the Company, the Participant may deliver electronically the Grant Notice and Exercise Notice called for by Section 4.2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 Any and all such documents and notices may be electronically signed.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308610</wp:posOffset>
            </wp:positionV>
            <wp:extent cx="6306185" cy="222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306185" cy="22225"/>
                    </a:xfrm>
                    <a:prstGeom prst="rect">
                      <a:avLst/>
                    </a:prstGeom>
                    <a:noFill/>
                  </pic:spPr>
                </pic:pic>
              </a:graphicData>
            </a:graphic>
          </wp:anchor>
        </w:drawing>
      </w:r>
    </w:p>
    <w:p>
      <w:pPr>
        <w:sectPr>
          <w:pgSz w:w="11900" w:h="16838" w:orient="portrait"/>
          <w:cols w:equalWidth="0" w:num="1">
            <w:col w:w="9940"/>
          </w:cols>
          <w:pgMar w:left="980" w:top="123" w:right="979" w:bottom="1440" w:gutter="0" w:footer="0" w:header="0"/>
        </w:sectPr>
      </w:pPr>
    </w:p>
    <w:bookmarkStart w:id="80" w:name="page81"/>
    <w:bookmarkEnd w:id="80"/>
    <w:p>
      <w:pPr>
        <w:jc w:val="both"/>
        <w:ind w:firstLine="1675"/>
        <w:spacing w:after="0" w:line="246" w:lineRule="auto"/>
        <w:tabs>
          <w:tab w:leader="none" w:pos="2239"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Consent to Electronic Delivery and Signature. </w:t>
      </w:r>
      <w:r>
        <w:rPr>
          <w:rFonts w:ascii="Times New Roman" w:cs="Times New Roman" w:eastAsia="Times New Roman" w:hAnsi="Times New Roman"/>
          <w:sz w:val="16"/>
          <w:szCs w:val="16"/>
          <w:color w:val="auto"/>
        </w:rPr>
        <w:t>The Participant acknowledges that the Participant has read Section 13.4(a)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this Option Agreement and consents to the electronic delivery of the Plan documents and, if permitted by the Company, the delivery of the Grant Notice and Exercise Notice, as described in Section 13.4(a). The Participant agrees that any and all such documents requiring a signature may be electronically signed and that such electronic signature shall have the same effect as handwritten signature for the purposes of validity, enforceability and admissibility.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13.4(a) or may change the electronic mail address to which such documents are to be delivered (if the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13.4(a).</w:t>
      </w:r>
    </w:p>
    <w:p>
      <w:pPr>
        <w:spacing w:after="0" w:line="164" w:lineRule="exact"/>
        <w:rPr>
          <w:sz w:val="20"/>
          <w:szCs w:val="20"/>
          <w:color w:val="auto"/>
        </w:rPr>
      </w:pPr>
    </w:p>
    <w:p>
      <w:pPr>
        <w:jc w:val="both"/>
        <w:ind w:firstLine="1119"/>
        <w:spacing w:after="0" w:line="250" w:lineRule="auto"/>
        <w:rPr>
          <w:sz w:val="20"/>
          <w:szCs w:val="20"/>
          <w:color w:val="auto"/>
        </w:rPr>
      </w:pPr>
      <w:r>
        <w:rPr>
          <w:rFonts w:ascii="Times New Roman" w:cs="Times New Roman" w:eastAsia="Times New Roman" w:hAnsi="Times New Roman"/>
          <w:sz w:val="16"/>
          <w:szCs w:val="16"/>
          <w:color w:val="auto"/>
        </w:rPr>
        <w:t xml:space="preserve">13.5 </w:t>
      </w:r>
      <w:r>
        <w:rPr>
          <w:rFonts w:ascii="Times New Roman" w:cs="Times New Roman" w:eastAsia="Times New Roman" w:hAnsi="Times New Roman"/>
          <w:sz w:val="16"/>
          <w:szCs w:val="16"/>
          <w:b w:val="1"/>
          <w:bCs w:val="1"/>
          <w:color w:val="auto"/>
        </w:rPr>
        <w:t>Integrated Agreement.</w:t>
      </w:r>
      <w:r>
        <w:rPr>
          <w:rFonts w:ascii="Times New Roman" w:cs="Times New Roman" w:eastAsia="Times New Roman" w:hAnsi="Times New Roman"/>
          <w:sz w:val="16"/>
          <w:szCs w:val="16"/>
          <w:color w:val="auto"/>
        </w:rPr>
        <w:t xml:space="preserve"> The Grant Notice, this Option Agreement and the Plan, together with the Superseding Agreement, if any, shall constitute the entire understanding and agreement of the Participant and the Participating Company Group with respect to the subject matter contained herein and supersede any prior agreements, understandings, restrictions, representations, or warranties among the Participant and the Participating Company Group with respect to such subject matter. To the extent contemplated herein, the provisions of the Grant Notice, the Option Agreement and the Plan shall survive any exercise of the Option and shall remain in full force and effect.</w:t>
      </w:r>
    </w:p>
    <w:p>
      <w:pPr>
        <w:spacing w:after="0" w:line="162" w:lineRule="exact"/>
        <w:rPr>
          <w:sz w:val="20"/>
          <w:szCs w:val="20"/>
          <w:color w:val="auto"/>
        </w:rPr>
      </w:pPr>
    </w:p>
    <w:p>
      <w:pPr>
        <w:jc w:val="both"/>
        <w:ind w:firstLine="1119"/>
        <w:spacing w:after="0" w:line="270" w:lineRule="auto"/>
        <w:rPr>
          <w:sz w:val="20"/>
          <w:szCs w:val="20"/>
          <w:color w:val="auto"/>
        </w:rPr>
      </w:pPr>
      <w:r>
        <w:rPr>
          <w:rFonts w:ascii="Times New Roman" w:cs="Times New Roman" w:eastAsia="Times New Roman" w:hAnsi="Times New Roman"/>
          <w:sz w:val="16"/>
          <w:szCs w:val="16"/>
          <w:color w:val="auto"/>
        </w:rPr>
        <w:t xml:space="preserve">13.6 </w:t>
      </w:r>
      <w:r>
        <w:rPr>
          <w:rFonts w:ascii="Times New Roman" w:cs="Times New Roman" w:eastAsia="Times New Roman" w:hAnsi="Times New Roman"/>
          <w:sz w:val="16"/>
          <w:szCs w:val="16"/>
          <w:b w:val="1"/>
          <w:bCs w:val="1"/>
          <w:color w:val="auto"/>
        </w:rPr>
        <w:t>Applicable Law.</w:t>
      </w:r>
      <w:r>
        <w:rPr>
          <w:rFonts w:ascii="Times New Roman" w:cs="Times New Roman" w:eastAsia="Times New Roman" w:hAnsi="Times New Roman"/>
          <w:sz w:val="16"/>
          <w:szCs w:val="16"/>
          <w:color w:val="auto"/>
        </w:rPr>
        <w:t xml:space="preserve"> This Option Agreement shall be governed by the laws of the State of Delaware as such laws are applied to agreements between Delaware residents entered into and to be performed entirely within the State of Delaware.</w:t>
      </w:r>
    </w:p>
    <w:p>
      <w:pPr>
        <w:spacing w:after="0" w:line="146" w:lineRule="exact"/>
        <w:rPr>
          <w:sz w:val="20"/>
          <w:szCs w:val="20"/>
          <w:color w:val="auto"/>
        </w:rPr>
      </w:pPr>
    </w:p>
    <w:p>
      <w:pPr>
        <w:jc w:val="both"/>
        <w:ind w:right="20" w:firstLine="1119"/>
        <w:spacing w:after="0" w:line="270" w:lineRule="auto"/>
        <w:rPr>
          <w:sz w:val="20"/>
          <w:szCs w:val="20"/>
          <w:color w:val="auto"/>
        </w:rPr>
      </w:pPr>
      <w:r>
        <w:rPr>
          <w:rFonts w:ascii="Times New Roman" w:cs="Times New Roman" w:eastAsia="Times New Roman" w:hAnsi="Times New Roman"/>
          <w:sz w:val="16"/>
          <w:szCs w:val="16"/>
          <w:color w:val="auto"/>
        </w:rPr>
        <w:t xml:space="preserve">13.7 </w:t>
      </w:r>
      <w:r>
        <w:rPr>
          <w:rFonts w:ascii="Times New Roman" w:cs="Times New Roman" w:eastAsia="Times New Roman" w:hAnsi="Times New Roman"/>
          <w:sz w:val="16"/>
          <w:szCs w:val="16"/>
          <w:b w:val="1"/>
          <w:bCs w:val="1"/>
          <w:color w:val="auto"/>
        </w:rPr>
        <w:t>Counterparts.</w:t>
      </w:r>
      <w:r>
        <w:rPr>
          <w:rFonts w:ascii="Times New Roman" w:cs="Times New Roman" w:eastAsia="Times New Roman" w:hAnsi="Times New Roman"/>
          <w:sz w:val="16"/>
          <w:szCs w:val="16"/>
          <w:color w:val="auto"/>
        </w:rPr>
        <w:t xml:space="preserve"> The Grant Notice may be executed in counterparts, each of which shall be deemed an original, but all of which together shall constitute one and the same instrument.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308610</wp:posOffset>
            </wp:positionV>
            <wp:extent cx="6306185" cy="222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06185" cy="22225"/>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6"/>
          <w:szCs w:val="16"/>
          <w:b w:val="1"/>
          <w:bCs w:val="1"/>
          <w:color w:val="auto"/>
        </w:rPr>
        <w:t>Exhibit 10.5</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AMENDMENT TO EXECUTIVE EMPLOYMENT AGREEMENT</w:t>
      </w:r>
    </w:p>
    <w:p>
      <w:pPr>
        <w:spacing w:after="0" w:line="168" w:lineRule="exact"/>
        <w:rPr>
          <w:sz w:val="20"/>
          <w:szCs w:val="20"/>
          <w:color w:val="auto"/>
        </w:rPr>
      </w:pPr>
    </w:p>
    <w:p>
      <w:pPr>
        <w:jc w:val="both"/>
        <w:ind w:right="240" w:firstLine="560"/>
        <w:spacing w:after="0" w:line="255" w:lineRule="auto"/>
        <w:rPr>
          <w:sz w:val="20"/>
          <w:szCs w:val="20"/>
          <w:color w:val="auto"/>
        </w:rPr>
      </w:pPr>
      <w:r>
        <w:rPr>
          <w:rFonts w:ascii="Times New Roman" w:cs="Times New Roman" w:eastAsia="Times New Roman" w:hAnsi="Times New Roman"/>
          <w:sz w:val="16"/>
          <w:szCs w:val="16"/>
          <w:color w:val="auto"/>
        </w:rPr>
        <w:t>This Amendment to Executive Employment Agreement (the “Amendment”) is made and entered into as of August 7, 2025, by and between Binah Capital Group, Inc., a Delaware corporation (the “Company”), and Craig Gould (“Executive”). The Company and Executive are each referred to herein as a “Party” and collectively as the “Parties.”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156" w:lineRule="exact"/>
        <w:rPr>
          <w:sz w:val="20"/>
          <w:szCs w:val="20"/>
          <w:color w:val="auto"/>
        </w:rPr>
      </w:pPr>
    </w:p>
    <w:p>
      <w:pPr>
        <w:ind w:right="400" w:firstLine="560"/>
        <w:spacing w:after="0" w:line="267" w:lineRule="auto"/>
        <w:rPr>
          <w:sz w:val="20"/>
          <w:szCs w:val="20"/>
          <w:color w:val="auto"/>
        </w:rPr>
      </w:pPr>
      <w:r>
        <w:rPr>
          <w:rFonts w:ascii="Times New Roman" w:cs="Times New Roman" w:eastAsia="Times New Roman" w:hAnsi="Times New Roman"/>
          <w:sz w:val="16"/>
          <w:szCs w:val="16"/>
          <w:color w:val="auto"/>
        </w:rPr>
        <w:t>WHEREAS, the Parties entered into that certain Executive Employment Agreement dated as of August 14, 2024 (the “Agreement”), pursuant to which Executive serves as Chief Executive Officer of the Company;</w:t>
      </w:r>
    </w:p>
    <w:p>
      <w:pPr>
        <w:spacing w:after="0" w:line="1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WHEREAS, the Parties desire to amend the Agreement as set forth herein;</w:t>
      </w:r>
    </w:p>
    <w:p>
      <w:pPr>
        <w:spacing w:after="0" w:line="154" w:lineRule="exact"/>
        <w:rPr>
          <w:sz w:val="20"/>
          <w:szCs w:val="20"/>
          <w:color w:val="auto"/>
        </w:rPr>
      </w:pPr>
    </w:p>
    <w:p>
      <w:pPr>
        <w:ind w:right="200" w:firstLine="560"/>
        <w:spacing w:after="0" w:line="267" w:lineRule="auto"/>
        <w:rPr>
          <w:sz w:val="20"/>
          <w:szCs w:val="20"/>
          <w:color w:val="auto"/>
        </w:rPr>
      </w:pPr>
      <w:r>
        <w:rPr>
          <w:rFonts w:ascii="Times New Roman" w:cs="Times New Roman" w:eastAsia="Times New Roman" w:hAnsi="Times New Roman"/>
          <w:sz w:val="16"/>
          <w:szCs w:val="16"/>
          <w:color w:val="auto"/>
        </w:rPr>
        <w:t>NOW, THEREFORE, in consideration of the mutual covenants and agreements contained herein and for other good and valuable consideration, the receipt and sufficiency of which are hereby acknowledged, the Parties agree as follows:</w:t>
      </w:r>
    </w:p>
    <w:p>
      <w:pPr>
        <w:spacing w:after="0" w:line="11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1. Amendments to the Agreement</w:t>
      </w:r>
    </w:p>
    <w:p>
      <w:pPr>
        <w:spacing w:after="0" w:line="168" w:lineRule="exact"/>
        <w:rPr>
          <w:sz w:val="20"/>
          <w:szCs w:val="20"/>
          <w:color w:val="auto"/>
        </w:rPr>
      </w:pPr>
    </w:p>
    <w:p>
      <w:pPr>
        <w:ind w:right="400" w:firstLine="560"/>
        <w:spacing w:after="0" w:line="340" w:lineRule="auto"/>
        <w:rPr>
          <w:sz w:val="20"/>
          <w:szCs w:val="20"/>
          <w:color w:val="auto"/>
        </w:rPr>
      </w:pPr>
      <w:r>
        <w:rPr>
          <w:rFonts w:ascii="Times New Roman" w:cs="Times New Roman" w:eastAsia="Times New Roman" w:hAnsi="Times New Roman"/>
          <w:sz w:val="14"/>
          <w:szCs w:val="14"/>
          <w:color w:val="auto"/>
        </w:rPr>
        <w:t>Section 4.2 is amended by adding the following last sentence: “The Annual Bonus for the 2025 performance year may be paid in cash or vested Company shares with the grant date fair value equal to the bonus amount, as determined by the Board or Compensation Committee in its discretion.”</w:t>
      </w:r>
    </w:p>
    <w:p>
      <w:pPr>
        <w:spacing w:after="0" w:line="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Section 4.4(b) is amended and restated to read as follows:</w:t>
      </w:r>
    </w:p>
    <w:p>
      <w:pPr>
        <w:spacing w:after="0" w:line="154" w:lineRule="exact"/>
        <w:rPr>
          <w:sz w:val="20"/>
          <w:szCs w:val="20"/>
          <w:color w:val="auto"/>
        </w:rPr>
      </w:pPr>
    </w:p>
    <w:p>
      <w:pPr>
        <w:ind w:right="40" w:firstLine="560"/>
        <w:spacing w:after="0" w:line="248" w:lineRule="auto"/>
        <w:rPr>
          <w:sz w:val="20"/>
          <w:szCs w:val="20"/>
          <w:color w:val="auto"/>
        </w:rPr>
      </w:pPr>
      <w:r>
        <w:rPr>
          <w:rFonts w:ascii="Times New Roman" w:cs="Times New Roman" w:eastAsia="Times New Roman" w:hAnsi="Times New Roman"/>
          <w:sz w:val="16"/>
          <w:szCs w:val="16"/>
          <w:color w:val="auto"/>
        </w:rPr>
        <w:t>“(b) In 2025 and each year thereafter during Executive’s continuous service, the Company will grant Executive restricted stock units with respect to a number of shares of Common Stock of the Company that have a grant date fair value equal to Executive’s annual base salary at the time of each such grant, as reasonably determined by the Board (the “Additional Awards”), under the terms of the Plan. The vesting schedule of the Additional Awards will be ratable monthly over three years from the date of the grant, based on continued service through each vesting date; provided, however, that the Additional Awards will accelerate and be deemed vested in full upon a Change in Control (as defined in the Plan). All grants will be subject to the terms of the applicable grant agreement and Plan.”</w:t>
      </w:r>
    </w:p>
    <w:p>
      <w:pPr>
        <w:spacing w:after="0" w:line="1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2. No Other Changes</w:t>
      </w:r>
    </w:p>
    <w:p>
      <w:pPr>
        <w:spacing w:after="0" w:line="156" w:lineRule="exact"/>
        <w:rPr>
          <w:sz w:val="20"/>
          <w:szCs w:val="20"/>
          <w:color w:val="auto"/>
        </w:rPr>
      </w:pPr>
    </w:p>
    <w:p>
      <w:pPr>
        <w:ind w:right="100" w:firstLine="560"/>
        <w:spacing w:after="0" w:line="267" w:lineRule="auto"/>
        <w:rPr>
          <w:sz w:val="20"/>
          <w:szCs w:val="20"/>
          <w:color w:val="auto"/>
        </w:rPr>
      </w:pPr>
      <w:r>
        <w:rPr>
          <w:rFonts w:ascii="Times New Roman" w:cs="Times New Roman" w:eastAsia="Times New Roman" w:hAnsi="Times New Roman"/>
          <w:sz w:val="16"/>
          <w:szCs w:val="16"/>
          <w:color w:val="auto"/>
        </w:rPr>
        <w:t>Except as expressly amended by this Amendment, all terms, conditions, and provisions of the Agreement shall remain in full force and effect and are hereby ratified and confirmed.</w:t>
      </w:r>
    </w:p>
    <w:p>
      <w:pPr>
        <w:spacing w:after="0" w:line="11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3. Governing Law</w:t>
      </w:r>
    </w:p>
    <w:p>
      <w:pPr>
        <w:spacing w:after="0" w:line="168" w:lineRule="exact"/>
        <w:rPr>
          <w:sz w:val="20"/>
          <w:szCs w:val="20"/>
          <w:color w:val="auto"/>
        </w:rPr>
      </w:pPr>
    </w:p>
    <w:p>
      <w:pPr>
        <w:ind w:right="460" w:firstLine="560"/>
        <w:spacing w:after="0" w:line="267" w:lineRule="auto"/>
        <w:rPr>
          <w:sz w:val="20"/>
          <w:szCs w:val="20"/>
          <w:color w:val="auto"/>
        </w:rPr>
      </w:pPr>
      <w:r>
        <w:rPr>
          <w:rFonts w:ascii="Times New Roman" w:cs="Times New Roman" w:eastAsia="Times New Roman" w:hAnsi="Times New Roman"/>
          <w:sz w:val="16"/>
          <w:szCs w:val="16"/>
          <w:color w:val="auto"/>
        </w:rPr>
        <w:t>This Amendment shall be governed by and construed in accordance with the laws of the State of Delaware, without regard to its conflict of law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499110</wp:posOffset>
            </wp:positionV>
            <wp:extent cx="6306185" cy="222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06185" cy="22225"/>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82" w:name="page83"/>
    <w:bookmarkEnd w:id="82"/>
    <w:p>
      <w:pPr>
        <w:ind w:left="560"/>
        <w:spacing w:after="0"/>
        <w:rPr>
          <w:sz w:val="20"/>
          <w:szCs w:val="20"/>
          <w:color w:val="auto"/>
        </w:rPr>
      </w:pPr>
      <w:r>
        <w:rPr>
          <w:rFonts w:ascii="Times New Roman" w:cs="Times New Roman" w:eastAsia="Times New Roman" w:hAnsi="Times New Roman"/>
          <w:sz w:val="16"/>
          <w:szCs w:val="16"/>
          <w:b w:val="1"/>
          <w:bCs w:val="1"/>
          <w:color w:val="auto"/>
        </w:rPr>
        <w:t>4. Counterparts</w:t>
      </w:r>
    </w:p>
    <w:p>
      <w:pPr>
        <w:spacing w:after="0" w:line="156" w:lineRule="exact"/>
        <w:rPr>
          <w:sz w:val="20"/>
          <w:szCs w:val="20"/>
          <w:color w:val="auto"/>
        </w:rPr>
      </w:pPr>
    </w:p>
    <w:p>
      <w:pPr>
        <w:ind w:firstLine="560"/>
        <w:spacing w:after="0" w:line="340" w:lineRule="auto"/>
        <w:rPr>
          <w:sz w:val="20"/>
          <w:szCs w:val="20"/>
          <w:color w:val="auto"/>
        </w:rPr>
      </w:pPr>
      <w:r>
        <w:rPr>
          <w:rFonts w:ascii="Times New Roman" w:cs="Times New Roman" w:eastAsia="Times New Roman" w:hAnsi="Times New Roman"/>
          <w:sz w:val="14"/>
          <w:szCs w:val="14"/>
          <w:color w:val="auto"/>
        </w:rPr>
        <w:t>This Amendment may be executed in counterparts, each of which shall be deemed an original, but all of which together shall constitute one and the same instrument. Signatures delivered by electronic means (including PDF or other electronic transmission) shall be deemed effective for all purposes.</w:t>
      </w:r>
    </w:p>
    <w:p>
      <w:pPr>
        <w:spacing w:after="0" w:line="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IN WITNESS WHEREOF, the Parties have executed this Amendment as of the date first written above.</w:t>
      </w:r>
    </w:p>
    <w:p>
      <w:pPr>
        <w:spacing w:after="0" w:line="18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6"/>
          <w:szCs w:val="16"/>
          <w:color w:val="auto"/>
        </w:rPr>
        <w:t>BINAH CAPITAL GROUP, INC.</w:t>
      </w:r>
    </w:p>
    <w:p>
      <w:pPr>
        <w:spacing w:after="0" w:line="189" w:lineRule="exact"/>
        <w:rPr>
          <w:sz w:val="20"/>
          <w:szCs w:val="20"/>
          <w:color w:val="auto"/>
        </w:rPr>
      </w:pPr>
    </w:p>
    <w:p>
      <w:pPr>
        <w:ind w:left="4900"/>
        <w:spacing w:after="0"/>
        <w:tabs>
          <w:tab w:leader="none" w:pos="53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David Shane</w:t>
      </w:r>
    </w:p>
    <w:p>
      <w:pPr>
        <w:spacing w:after="0" w:line="1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6"/>
          <w:szCs w:val="16"/>
          <w:color w:val="auto"/>
        </w:rPr>
        <w:t>Name: David Shane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3430270</wp:posOffset>
            </wp:positionH>
            <wp:positionV relativeFrom="paragraph">
              <wp:posOffset>-115570</wp:posOffset>
            </wp:positionV>
            <wp:extent cx="287528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75280" cy="7620"/>
                    </a:xfrm>
                    <a:prstGeom prst="rect">
                      <a:avLst/>
                    </a:prstGeom>
                    <a:noFill/>
                  </pic:spPr>
                </pic:pic>
              </a:graphicData>
            </a:graphic>
          </wp:anchor>
        </w:drawing>
      </w:r>
    </w:p>
    <w:p>
      <w:pPr>
        <w:ind w:left="4900"/>
        <w:spacing w:after="0"/>
        <w:tabs>
          <w:tab w:leader="none" w:pos="538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4"/>
          <w:szCs w:val="14"/>
          <w:color w:val="auto"/>
        </w:rPr>
        <w:t>Chief Financial Officer</w:t>
      </w:r>
    </w:p>
    <w:p>
      <w:pPr>
        <w:spacing w:after="0" w:line="17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6"/>
          <w:szCs w:val="16"/>
          <w:color w:val="auto"/>
        </w:rPr>
        <w:t>EXECUTIVE</w:t>
      </w:r>
    </w:p>
    <w:p>
      <w:pPr>
        <w:spacing w:after="0" w:line="189" w:lineRule="exact"/>
        <w:rPr>
          <w:sz w:val="20"/>
          <w:szCs w:val="20"/>
          <w:color w:val="auto"/>
        </w:rPr>
      </w:pPr>
    </w:p>
    <w:p>
      <w:pPr>
        <w:ind w:left="4900"/>
        <w:spacing w:after="0"/>
        <w:tabs>
          <w:tab w:leader="none" w:pos="53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Craig Gould</w:t>
      </w:r>
    </w:p>
    <w:p>
      <w:pPr>
        <w:spacing w:after="0" w:line="1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6"/>
          <w:szCs w:val="16"/>
          <w:color w:val="auto"/>
        </w:rPr>
        <w:t>Name: Craig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424815</wp:posOffset>
            </wp:positionV>
            <wp:extent cx="6306185" cy="146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306185" cy="14605"/>
                    </a:xfrm>
                    <a:prstGeom prst="rect">
                      <a:avLst/>
                    </a:prstGeom>
                    <a:noFill/>
                  </pic:spPr>
                </pic:pic>
              </a:graphicData>
            </a:graphic>
          </wp:anchor>
        </w:drawing>
        <w:drawing>
          <wp:anchor simplePos="0" relativeHeight="251657728" behindDoc="1" locked="0" layoutInCell="0" allowOverlap="1">
            <wp:simplePos x="0" y="0"/>
            <wp:positionH relativeFrom="column">
              <wp:posOffset>3430270</wp:posOffset>
            </wp:positionH>
            <wp:positionV relativeFrom="paragraph">
              <wp:posOffset>-115570</wp:posOffset>
            </wp:positionV>
            <wp:extent cx="287528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75280" cy="7620"/>
                    </a:xfrm>
                    <a:prstGeom prst="rect">
                      <a:avLst/>
                    </a:prstGeom>
                    <a:noFill/>
                  </pic:spPr>
                </pic:pic>
              </a:graphicData>
            </a:graphic>
          </wp:anchor>
        </w:drawing>
      </w:r>
    </w:p>
    <w:p>
      <w:pPr>
        <w:sectPr>
          <w:pgSz w:w="11900" w:h="16838" w:orient="portrait"/>
          <w:cols w:equalWidth="0" w:num="1">
            <w:col w:w="9720"/>
          </w:cols>
          <w:pgMar w:left="980" w:top="121" w:right="119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6"/>
          <w:szCs w:val="16"/>
          <w:b w:val="1"/>
          <w:bCs w:val="1"/>
          <w:color w:val="auto"/>
        </w:rPr>
        <w:t>Exhibit 10.6</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AMENDMENT TO EXECUTIVE EMPLOYMENT AGREEMENT</w:t>
      </w:r>
    </w:p>
    <w:p>
      <w:pPr>
        <w:spacing w:after="0" w:line="168" w:lineRule="exact"/>
        <w:rPr>
          <w:sz w:val="20"/>
          <w:szCs w:val="20"/>
          <w:color w:val="auto"/>
        </w:rPr>
      </w:pPr>
    </w:p>
    <w:p>
      <w:pPr>
        <w:jc w:val="both"/>
        <w:ind w:right="220" w:firstLine="560"/>
        <w:spacing w:after="0" w:line="255" w:lineRule="auto"/>
        <w:rPr>
          <w:sz w:val="20"/>
          <w:szCs w:val="20"/>
          <w:color w:val="auto"/>
        </w:rPr>
      </w:pPr>
      <w:r>
        <w:rPr>
          <w:rFonts w:ascii="Times New Roman" w:cs="Times New Roman" w:eastAsia="Times New Roman" w:hAnsi="Times New Roman"/>
          <w:sz w:val="16"/>
          <w:szCs w:val="16"/>
          <w:color w:val="auto"/>
        </w:rPr>
        <w:t>This Amendment to Executive Employment Agreement (the “Amendment”) is made and entered into as of August 7, 2025, by and between Binah Capital Group, Inc., a Delaware corporation (the “Company”), and David Shane (“Executive”). The Company and Executive are each referred to herein as a “Party” and collectively as the “Parties.”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156" w:lineRule="exact"/>
        <w:rPr>
          <w:sz w:val="20"/>
          <w:szCs w:val="20"/>
          <w:color w:val="auto"/>
        </w:rPr>
      </w:pPr>
    </w:p>
    <w:p>
      <w:pPr>
        <w:ind w:right="400" w:firstLine="560"/>
        <w:spacing w:after="0" w:line="267" w:lineRule="auto"/>
        <w:rPr>
          <w:sz w:val="20"/>
          <w:szCs w:val="20"/>
          <w:color w:val="auto"/>
        </w:rPr>
      </w:pPr>
      <w:r>
        <w:rPr>
          <w:rFonts w:ascii="Times New Roman" w:cs="Times New Roman" w:eastAsia="Times New Roman" w:hAnsi="Times New Roman"/>
          <w:sz w:val="16"/>
          <w:szCs w:val="16"/>
          <w:color w:val="auto"/>
        </w:rPr>
        <w:t>WHEREAS, the Parties entered into that certain Executive Employment Agreement dated as of August 14, 2024 (the “Agreement”), pursuant to which Executive serves as Chief Financial Officer of the Company;</w:t>
      </w:r>
    </w:p>
    <w:p>
      <w:pPr>
        <w:spacing w:after="0" w:line="1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WHEREAS, the Parties desire to amend the Agreement as set forth herein;</w:t>
      </w:r>
    </w:p>
    <w:p>
      <w:pPr>
        <w:spacing w:after="0" w:line="154" w:lineRule="exact"/>
        <w:rPr>
          <w:sz w:val="20"/>
          <w:szCs w:val="20"/>
          <w:color w:val="auto"/>
        </w:rPr>
      </w:pPr>
    </w:p>
    <w:p>
      <w:pPr>
        <w:ind w:right="200" w:firstLine="560"/>
        <w:spacing w:after="0" w:line="267" w:lineRule="auto"/>
        <w:rPr>
          <w:sz w:val="20"/>
          <w:szCs w:val="20"/>
          <w:color w:val="auto"/>
        </w:rPr>
      </w:pPr>
      <w:r>
        <w:rPr>
          <w:rFonts w:ascii="Times New Roman" w:cs="Times New Roman" w:eastAsia="Times New Roman" w:hAnsi="Times New Roman"/>
          <w:sz w:val="16"/>
          <w:szCs w:val="16"/>
          <w:color w:val="auto"/>
        </w:rPr>
        <w:t>NOW, THEREFORE, in consideration of the mutual covenants and agreements contained herein and for other good and valuable consideration, the receipt and sufficiency of which are hereby acknowledged, the Parties agree as follows:</w:t>
      </w:r>
    </w:p>
    <w:p>
      <w:pPr>
        <w:spacing w:after="0" w:line="11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1. Amendments to the Agreement</w:t>
      </w:r>
    </w:p>
    <w:p>
      <w:pPr>
        <w:spacing w:after="0" w:line="168" w:lineRule="exact"/>
        <w:rPr>
          <w:sz w:val="20"/>
          <w:szCs w:val="20"/>
          <w:color w:val="auto"/>
        </w:rPr>
      </w:pPr>
    </w:p>
    <w:p>
      <w:pPr>
        <w:ind w:right="400" w:firstLine="560"/>
        <w:spacing w:after="0" w:line="340" w:lineRule="auto"/>
        <w:rPr>
          <w:sz w:val="20"/>
          <w:szCs w:val="20"/>
          <w:color w:val="auto"/>
        </w:rPr>
      </w:pPr>
      <w:r>
        <w:rPr>
          <w:rFonts w:ascii="Times New Roman" w:cs="Times New Roman" w:eastAsia="Times New Roman" w:hAnsi="Times New Roman"/>
          <w:sz w:val="14"/>
          <w:szCs w:val="14"/>
          <w:color w:val="auto"/>
        </w:rPr>
        <w:t>Section 4.2 is amended by adding the following last sentence: “The Annual Bonus for the 2025 performance year may be paid in cash or vested Company shares with the grant date fair value equal to the bonus amount, as determined by the Board or Compensation Committee in its discretion.”</w:t>
      </w:r>
    </w:p>
    <w:p>
      <w:pPr>
        <w:spacing w:after="0" w:line="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Sections 4.3(b) and (d) are amended and restated to read as follows:</w:t>
      </w:r>
    </w:p>
    <w:p>
      <w:pPr>
        <w:spacing w:after="0" w:line="154" w:lineRule="exact"/>
        <w:rPr>
          <w:sz w:val="20"/>
          <w:szCs w:val="20"/>
          <w:color w:val="auto"/>
        </w:rPr>
      </w:pPr>
    </w:p>
    <w:p>
      <w:pPr>
        <w:ind w:right="20" w:firstLine="560"/>
        <w:spacing w:after="0" w:line="249" w:lineRule="auto"/>
        <w:rPr>
          <w:sz w:val="20"/>
          <w:szCs w:val="20"/>
          <w:color w:val="auto"/>
        </w:rPr>
      </w:pPr>
      <w:r>
        <w:rPr>
          <w:rFonts w:ascii="Times New Roman" w:cs="Times New Roman" w:eastAsia="Times New Roman" w:hAnsi="Times New Roman"/>
          <w:sz w:val="16"/>
          <w:szCs w:val="16"/>
          <w:color w:val="auto"/>
        </w:rPr>
        <w:t>“(b) In 2025, 2026, and 2027, subject to Executive’s continuous service through each grant date, the Company will grant Executive restricted stock units with respect to a number of shares of Common Stock of the Company that have a grant date fair value equal to $350,000, as reasonably determined by the Board (the “Additional Awards”), under the terms of the Plan. The vesting schedule of the Additional Awards will be ratable monthly over three years from the date of the grant, based on continued service through each vesting date; provided, however, that the Additional Awards will accelerate and be deemed vested in full upon a Change in Control (as defined in the Plan). […]</w:t>
      </w:r>
    </w:p>
    <w:p>
      <w:pPr>
        <w:spacing w:after="0" w:line="143" w:lineRule="exact"/>
        <w:rPr>
          <w:sz w:val="20"/>
          <w:szCs w:val="20"/>
          <w:color w:val="auto"/>
        </w:rPr>
      </w:pPr>
    </w:p>
    <w:p>
      <w:pPr>
        <w:ind w:right="80" w:firstLine="556"/>
        <w:spacing w:after="0" w:line="267" w:lineRule="auto"/>
        <w:tabs>
          <w:tab w:leader="none" w:pos="811"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options and restricted stock units granted by the Company will be forfeited upon Executive’s termination for Cause. All grants will be subject to the terms of the applicable grant agreement and Plan.”</w:t>
      </w:r>
    </w:p>
    <w:p>
      <w:pPr>
        <w:spacing w:after="0" w:line="11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2. No Other Changes</w:t>
      </w:r>
    </w:p>
    <w:p>
      <w:pPr>
        <w:spacing w:after="0" w:line="156" w:lineRule="exact"/>
        <w:rPr>
          <w:sz w:val="20"/>
          <w:szCs w:val="20"/>
          <w:color w:val="auto"/>
        </w:rPr>
      </w:pPr>
    </w:p>
    <w:p>
      <w:pPr>
        <w:ind w:right="100" w:firstLine="560"/>
        <w:spacing w:after="0" w:line="267" w:lineRule="auto"/>
        <w:rPr>
          <w:sz w:val="20"/>
          <w:szCs w:val="20"/>
          <w:color w:val="auto"/>
        </w:rPr>
      </w:pPr>
      <w:r>
        <w:rPr>
          <w:rFonts w:ascii="Times New Roman" w:cs="Times New Roman" w:eastAsia="Times New Roman" w:hAnsi="Times New Roman"/>
          <w:sz w:val="16"/>
          <w:szCs w:val="16"/>
          <w:color w:val="auto"/>
        </w:rPr>
        <w:t>Except as expressly amended by this Amendment, all terms, conditions, and provisions of the Agreement shall remain in full force and effect and are hereby ratified and confirmed.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506730</wp:posOffset>
            </wp:positionV>
            <wp:extent cx="6306185" cy="146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306185" cy="14605"/>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84" w:name="page85"/>
    <w:bookmarkEnd w:id="84"/>
    <w:p>
      <w:pPr>
        <w:ind w:left="560"/>
        <w:spacing w:after="0"/>
        <w:rPr>
          <w:sz w:val="20"/>
          <w:szCs w:val="20"/>
          <w:color w:val="auto"/>
        </w:rPr>
      </w:pPr>
      <w:r>
        <w:rPr>
          <w:rFonts w:ascii="Times New Roman" w:cs="Times New Roman" w:eastAsia="Times New Roman" w:hAnsi="Times New Roman"/>
          <w:sz w:val="16"/>
          <w:szCs w:val="16"/>
          <w:b w:val="1"/>
          <w:bCs w:val="1"/>
          <w:color w:val="auto"/>
        </w:rPr>
        <w:t>3. Governing Law</w:t>
      </w:r>
    </w:p>
    <w:p>
      <w:pPr>
        <w:spacing w:after="0" w:line="156" w:lineRule="exact"/>
        <w:rPr>
          <w:sz w:val="20"/>
          <w:szCs w:val="20"/>
          <w:color w:val="auto"/>
        </w:rPr>
      </w:pPr>
    </w:p>
    <w:p>
      <w:pPr>
        <w:ind w:right="240" w:firstLine="560"/>
        <w:spacing w:after="0" w:line="267" w:lineRule="auto"/>
        <w:rPr>
          <w:sz w:val="20"/>
          <w:szCs w:val="20"/>
          <w:color w:val="auto"/>
        </w:rPr>
      </w:pPr>
      <w:r>
        <w:rPr>
          <w:rFonts w:ascii="Times New Roman" w:cs="Times New Roman" w:eastAsia="Times New Roman" w:hAnsi="Times New Roman"/>
          <w:sz w:val="16"/>
          <w:szCs w:val="16"/>
          <w:color w:val="auto"/>
        </w:rPr>
        <w:t>This Amendment shall be governed by and construed in accordance with the laws of the State of Delaware, without regard to its conflict of law principles.</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4. Counterparts</w:t>
      </w:r>
    </w:p>
    <w:p>
      <w:pPr>
        <w:spacing w:after="0" w:line="156" w:lineRule="exact"/>
        <w:rPr>
          <w:sz w:val="20"/>
          <w:szCs w:val="20"/>
          <w:color w:val="auto"/>
        </w:rPr>
      </w:pPr>
    </w:p>
    <w:p>
      <w:pPr>
        <w:ind w:firstLine="560"/>
        <w:spacing w:after="0" w:line="340" w:lineRule="auto"/>
        <w:rPr>
          <w:sz w:val="20"/>
          <w:szCs w:val="20"/>
          <w:color w:val="auto"/>
        </w:rPr>
      </w:pPr>
      <w:r>
        <w:rPr>
          <w:rFonts w:ascii="Times New Roman" w:cs="Times New Roman" w:eastAsia="Times New Roman" w:hAnsi="Times New Roman"/>
          <w:sz w:val="14"/>
          <w:szCs w:val="14"/>
          <w:color w:val="auto"/>
        </w:rPr>
        <w:t>This Amendment may be executed in counterparts, each of which shall be deemed an original, but all of which together shall constitute one and the same instrument. Signatures delivered by electronic means (including PDF or other electronic transmission) shall be deemed effective for all purposes.</w:t>
      </w:r>
    </w:p>
    <w:p>
      <w:pPr>
        <w:spacing w:after="0" w:line="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IN WITNESS WHEREOF, the Parties have executed this Amendment as of the date first written above.</w:t>
      </w:r>
    </w:p>
    <w:p>
      <w:pPr>
        <w:spacing w:after="0" w:line="18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6"/>
          <w:szCs w:val="16"/>
          <w:color w:val="auto"/>
        </w:rPr>
        <w:t>BINAH CAPITAL GROUP, INC.</w:t>
      </w:r>
    </w:p>
    <w:p>
      <w:pPr>
        <w:spacing w:after="0" w:line="189" w:lineRule="exact"/>
        <w:rPr>
          <w:sz w:val="20"/>
          <w:szCs w:val="20"/>
          <w:color w:val="auto"/>
        </w:rPr>
      </w:pPr>
    </w:p>
    <w:p>
      <w:pPr>
        <w:ind w:left="4900"/>
        <w:spacing w:after="0"/>
        <w:tabs>
          <w:tab w:leader="none" w:pos="53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Craig Gould</w:t>
      </w:r>
    </w:p>
    <w:p>
      <w:pPr>
        <w:spacing w:after="0" w:line="1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6"/>
          <w:szCs w:val="16"/>
          <w:color w:val="auto"/>
        </w:rPr>
        <w:t>Name: Craig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3430270</wp:posOffset>
            </wp:positionH>
            <wp:positionV relativeFrom="paragraph">
              <wp:posOffset>-115570</wp:posOffset>
            </wp:positionV>
            <wp:extent cx="287528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75280" cy="7620"/>
                    </a:xfrm>
                    <a:prstGeom prst="rect">
                      <a:avLst/>
                    </a:prstGeom>
                    <a:noFill/>
                  </pic:spPr>
                </pic:pic>
              </a:graphicData>
            </a:graphic>
          </wp:anchor>
        </w:drawing>
      </w:r>
    </w:p>
    <w:p>
      <w:pPr>
        <w:ind w:left="4900"/>
        <w:spacing w:after="0"/>
        <w:tabs>
          <w:tab w:leader="none" w:pos="538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4"/>
          <w:szCs w:val="14"/>
          <w:color w:val="auto"/>
        </w:rPr>
        <w:t>Chief Executive Officer</w:t>
      </w:r>
    </w:p>
    <w:p>
      <w:pPr>
        <w:spacing w:after="0" w:line="17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6"/>
          <w:szCs w:val="16"/>
          <w:color w:val="auto"/>
        </w:rPr>
        <w:t>EXECUTIVE</w:t>
      </w:r>
    </w:p>
    <w:p>
      <w:pPr>
        <w:spacing w:after="0" w:line="189" w:lineRule="exact"/>
        <w:rPr>
          <w:sz w:val="20"/>
          <w:szCs w:val="20"/>
          <w:color w:val="auto"/>
        </w:rPr>
      </w:pPr>
    </w:p>
    <w:p>
      <w:pPr>
        <w:ind w:left="4900"/>
        <w:spacing w:after="0"/>
        <w:tabs>
          <w:tab w:leader="none" w:pos="53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David Shane</w:t>
      </w:r>
    </w:p>
    <w:p>
      <w:pPr>
        <w:spacing w:after="0" w:line="1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6"/>
          <w:szCs w:val="16"/>
          <w:color w:val="auto"/>
        </w:rPr>
        <w:t>Name: David Shane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424815</wp:posOffset>
            </wp:positionV>
            <wp:extent cx="6306185" cy="222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306185" cy="22225"/>
                    </a:xfrm>
                    <a:prstGeom prst="rect">
                      <a:avLst/>
                    </a:prstGeom>
                    <a:noFill/>
                  </pic:spPr>
                </pic:pic>
              </a:graphicData>
            </a:graphic>
          </wp:anchor>
        </w:drawing>
        <w:drawing>
          <wp:anchor simplePos="0" relativeHeight="251657728" behindDoc="1" locked="0" layoutInCell="0" allowOverlap="1">
            <wp:simplePos x="0" y="0"/>
            <wp:positionH relativeFrom="column">
              <wp:posOffset>3430270</wp:posOffset>
            </wp:positionH>
            <wp:positionV relativeFrom="paragraph">
              <wp:posOffset>-115570</wp:posOffset>
            </wp:positionV>
            <wp:extent cx="287528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75280" cy="7620"/>
                    </a:xfrm>
                    <a:prstGeom prst="rect">
                      <a:avLst/>
                    </a:prstGeom>
                    <a:noFill/>
                  </pic:spPr>
                </pic:pic>
              </a:graphicData>
            </a:graphic>
          </wp:anchor>
        </w:drawing>
      </w:r>
    </w:p>
    <w:p>
      <w:pPr>
        <w:sectPr>
          <w:pgSz w:w="11900" w:h="16838" w:orient="portrait"/>
          <w:cols w:equalWidth="0" w:num="1">
            <w:col w:w="9720"/>
          </w:cols>
          <w:pgMar w:left="980" w:top="121" w:right="119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89"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PURSUANT TO RULES 13a-14(a) AND 15d-14(a)</w:t>
      </w:r>
    </w:p>
    <w:p>
      <w:pPr>
        <w:spacing w:after="0" w:line="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UNDER THE SECURITIES EXCHANGE ACT OF 1934, AS ADOPTED PURSUANT TO</w:t>
      </w:r>
    </w:p>
    <w:p>
      <w:pPr>
        <w:spacing w:after="0" w:line="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SECTION 302 OF THE SARBANES-OXLEY ACT OF 2002</w:t>
      </w:r>
    </w:p>
    <w:p>
      <w:pPr>
        <w:spacing w:after="0" w:line="17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I, Craig Gould, certify that:</w:t>
      </w:r>
    </w:p>
    <w:p>
      <w:pPr>
        <w:spacing w:after="0" w:line="189" w:lineRule="exact"/>
        <w:rPr>
          <w:sz w:val="20"/>
          <w:szCs w:val="20"/>
          <w:color w:val="auto"/>
        </w:rPr>
      </w:pPr>
    </w:p>
    <w:p>
      <w:pPr>
        <w:ind w:left="285" w:hanging="285"/>
        <w:spacing w:after="0"/>
        <w:tabs>
          <w:tab w:leader="none" w:pos="285"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Binah Capital Group, Inc.;</w:t>
      </w:r>
    </w:p>
    <w:p>
      <w:pPr>
        <w:spacing w:after="0" w:line="189" w:lineRule="exact"/>
        <w:rPr>
          <w:rFonts w:ascii="Times New Roman" w:cs="Times New Roman" w:eastAsia="Times New Roman" w:hAnsi="Times New Roman"/>
          <w:sz w:val="16"/>
          <w:szCs w:val="16"/>
          <w:color w:val="auto"/>
        </w:rPr>
      </w:pPr>
    </w:p>
    <w:p>
      <w:pPr>
        <w:ind w:left="285" w:right="180" w:hanging="285"/>
        <w:spacing w:after="0" w:line="340" w:lineRule="auto"/>
        <w:tabs>
          <w:tab w:leader="none" w:pos="285"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4" w:lineRule="exact"/>
        <w:rPr>
          <w:rFonts w:ascii="Times New Roman" w:cs="Times New Roman" w:eastAsia="Times New Roman" w:hAnsi="Times New Roman"/>
          <w:sz w:val="14"/>
          <w:szCs w:val="14"/>
          <w:color w:val="auto"/>
        </w:rPr>
      </w:pPr>
    </w:p>
    <w:p>
      <w:pPr>
        <w:ind w:left="285" w:right="580" w:hanging="285"/>
        <w:spacing w:after="0" w:line="267" w:lineRule="auto"/>
        <w:tabs>
          <w:tab w:leader="none" w:pos="285"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Times New Roman" w:cs="Times New Roman" w:eastAsia="Times New Roman" w:hAnsi="Times New Roman"/>
          <w:sz w:val="16"/>
          <w:szCs w:val="16"/>
          <w:color w:val="auto"/>
        </w:rPr>
      </w:pPr>
    </w:p>
    <w:p>
      <w:pPr>
        <w:ind w:left="285" w:right="140" w:hanging="285"/>
        <w:spacing w:after="0" w:line="267" w:lineRule="auto"/>
        <w:tabs>
          <w:tab w:leader="none" w:pos="285"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50" w:lineRule="exact"/>
        <w:rPr>
          <w:rFonts w:ascii="Times New Roman" w:cs="Times New Roman" w:eastAsia="Times New Roman" w:hAnsi="Times New Roman"/>
          <w:sz w:val="16"/>
          <w:szCs w:val="16"/>
          <w:color w:val="auto"/>
        </w:rPr>
      </w:pPr>
    </w:p>
    <w:p>
      <w:pPr>
        <w:ind w:left="565" w:right="120" w:hanging="284"/>
        <w:spacing w:after="0" w:line="255" w:lineRule="auto"/>
        <w:tabs>
          <w:tab w:leader="none" w:pos="565"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Times New Roman" w:cs="Times New Roman" w:eastAsia="Times New Roman" w:hAnsi="Times New Roman"/>
          <w:sz w:val="16"/>
          <w:szCs w:val="16"/>
          <w:color w:val="auto"/>
        </w:rPr>
      </w:pPr>
    </w:p>
    <w:p>
      <w:pPr>
        <w:ind w:left="565" w:right="100" w:hanging="284"/>
        <w:spacing w:after="0" w:line="255" w:lineRule="auto"/>
        <w:tabs>
          <w:tab w:leader="none" w:pos="565"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Times New Roman" w:cs="Times New Roman" w:eastAsia="Times New Roman" w:hAnsi="Times New Roman"/>
          <w:sz w:val="16"/>
          <w:szCs w:val="16"/>
          <w:color w:val="auto"/>
        </w:rPr>
      </w:pPr>
    </w:p>
    <w:p>
      <w:pPr>
        <w:ind w:left="565" w:right="160" w:hanging="284"/>
        <w:spacing w:after="0" w:line="267" w:lineRule="auto"/>
        <w:tabs>
          <w:tab w:leader="none" w:pos="565"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Times New Roman" w:cs="Times New Roman" w:eastAsia="Times New Roman" w:hAnsi="Times New Roman"/>
          <w:sz w:val="16"/>
          <w:szCs w:val="16"/>
          <w:color w:val="auto"/>
        </w:rPr>
      </w:pPr>
    </w:p>
    <w:p>
      <w:pPr>
        <w:ind w:left="565" w:right="20" w:hanging="284"/>
        <w:spacing w:after="0" w:line="255" w:lineRule="auto"/>
        <w:tabs>
          <w:tab w:leader="none" w:pos="565"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Times New Roman" w:cs="Times New Roman" w:eastAsia="Times New Roman" w:hAnsi="Times New Roman"/>
          <w:sz w:val="16"/>
          <w:szCs w:val="16"/>
          <w:color w:val="auto"/>
        </w:rPr>
      </w:pPr>
    </w:p>
    <w:p>
      <w:pPr>
        <w:ind w:left="285" w:right="520" w:hanging="285"/>
        <w:spacing w:after="0" w:line="267" w:lineRule="auto"/>
        <w:tabs>
          <w:tab w:leader="none" w:pos="285"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Times New Roman" w:cs="Times New Roman" w:eastAsia="Times New Roman" w:hAnsi="Times New Roman"/>
          <w:sz w:val="16"/>
          <w:szCs w:val="16"/>
          <w:color w:val="auto"/>
        </w:rPr>
      </w:pPr>
    </w:p>
    <w:p>
      <w:pPr>
        <w:ind w:left="565" w:right="80" w:hanging="284"/>
        <w:spacing w:after="0" w:line="267" w:lineRule="auto"/>
        <w:tabs>
          <w:tab w:leader="none" w:pos="565"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Times New Roman" w:cs="Times New Roman" w:eastAsia="Times New Roman" w:hAnsi="Times New Roman"/>
          <w:sz w:val="16"/>
          <w:szCs w:val="16"/>
          <w:color w:val="auto"/>
        </w:rPr>
      </w:pPr>
    </w:p>
    <w:p>
      <w:pPr>
        <w:ind w:left="565" w:right="60" w:hanging="284"/>
        <w:spacing w:after="0" w:line="267" w:lineRule="auto"/>
        <w:tabs>
          <w:tab w:leader="none" w:pos="565"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controls over financial reporting.</w:t>
      </w:r>
    </w:p>
    <w:p>
      <w:pPr>
        <w:spacing w:after="0" w:line="151" w:lineRule="exact"/>
        <w:rPr>
          <w:sz w:val="20"/>
          <w:szCs w:val="20"/>
          <w:color w:val="auto"/>
        </w:rPr>
      </w:pPr>
    </w:p>
    <w:tbl>
      <w:tblPr>
        <w:tblLayout w:type="fixed"/>
        <w:tblInd w:w="5" w:type="dxa"/>
        <w:tblCellMar>
          <w:top w:w="0" w:type="dxa"/>
          <w:left w:w="0" w:type="dxa"/>
          <w:bottom w:w="0" w:type="dxa"/>
          <w:right w:w="0" w:type="dxa"/>
        </w:tblCellMar>
      </w:tblP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Date: August 13, 2025</w:t>
            </w:r>
          </w:p>
        </w:tc>
        <w:tc>
          <w:tcPr>
            <w:tcW w:w="6800" w:type="dxa"/>
            <w:vAlign w:val="bottom"/>
            <w:gridSpan w:val="2"/>
          </w:tcPr>
          <w:p>
            <w:pPr>
              <w:ind w:left="1700"/>
              <w:spacing w:after="0"/>
              <w:rPr>
                <w:sz w:val="20"/>
                <w:szCs w:val="20"/>
                <w:color w:val="auto"/>
              </w:rPr>
            </w:pPr>
            <w:r>
              <w:rPr>
                <w:rFonts w:ascii="Times New Roman" w:cs="Times New Roman" w:eastAsia="Times New Roman" w:hAnsi="Times New Roman"/>
                <w:sz w:val="16"/>
                <w:szCs w:val="16"/>
                <w:color w:val="auto"/>
              </w:rPr>
              <w:t>By: /s/ Craig Gould</w:t>
            </w:r>
          </w:p>
        </w:tc>
      </w:tr>
      <w:tr>
        <w:trPr>
          <w:trHeight w:val="162"/>
        </w:trPr>
        <w:tc>
          <w:tcPr>
            <w:tcW w:w="31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840" w:type="dxa"/>
            <w:vAlign w:val="bottom"/>
            <w:tcBorders>
              <w:top w:val="single" w:sz="8" w:color="auto"/>
            </w:tcBorders>
          </w:tcPr>
          <w:p>
            <w:pPr>
              <w:spacing w:after="0" w:line="162" w:lineRule="exact"/>
              <w:rPr>
                <w:sz w:val="20"/>
                <w:szCs w:val="20"/>
                <w:color w:val="auto"/>
              </w:rPr>
            </w:pPr>
            <w:r>
              <w:rPr>
                <w:rFonts w:ascii="Times New Roman" w:cs="Times New Roman" w:eastAsia="Times New Roman" w:hAnsi="Times New Roman"/>
                <w:sz w:val="16"/>
                <w:szCs w:val="16"/>
                <w:color w:val="auto"/>
              </w:rPr>
              <w:t>Craig Gould</w:t>
            </w:r>
          </w:p>
        </w:tc>
      </w:tr>
      <w:tr>
        <w:trPr>
          <w:trHeight w:val="187"/>
        </w:trPr>
        <w:tc>
          <w:tcPr>
            <w:tcW w:w="31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203"/>
        </w:trPr>
        <w:tc>
          <w:tcPr>
            <w:tcW w:w="31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669"/>
        </w:trPr>
        <w:tc>
          <w:tcPr>
            <w:tcW w:w="3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9945"/>
          </w:cols>
          <w:pgMar w:left="975" w:top="121" w:right="97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89"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PURSUANT TO RULES 13a-14(a) AND 15d-14(a)</w:t>
      </w:r>
    </w:p>
    <w:p>
      <w:pPr>
        <w:spacing w:after="0" w:line="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UNDER THE SECURITIES EXCHANGE ACT OF 1934, AS ADOPTED PURSUANT TO</w:t>
      </w:r>
    </w:p>
    <w:p>
      <w:pPr>
        <w:spacing w:after="0" w:line="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SECTION 302 OF THE SARBANES-OXLEY ACT OF 2002</w:t>
      </w:r>
    </w:p>
    <w:p>
      <w:pPr>
        <w:spacing w:after="0" w:line="17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I, David Shane, certify that:</w:t>
      </w:r>
    </w:p>
    <w:p>
      <w:pPr>
        <w:spacing w:after="0" w:line="189" w:lineRule="exact"/>
        <w:rPr>
          <w:sz w:val="20"/>
          <w:szCs w:val="20"/>
          <w:color w:val="auto"/>
        </w:rPr>
      </w:pPr>
    </w:p>
    <w:p>
      <w:pPr>
        <w:ind w:left="285" w:hanging="285"/>
        <w:spacing w:after="0"/>
        <w:tabs>
          <w:tab w:leader="none" w:pos="285"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Binah Capital Group, Inc.;</w:t>
      </w:r>
    </w:p>
    <w:p>
      <w:pPr>
        <w:spacing w:after="0" w:line="189" w:lineRule="exact"/>
        <w:rPr>
          <w:rFonts w:ascii="Times New Roman" w:cs="Times New Roman" w:eastAsia="Times New Roman" w:hAnsi="Times New Roman"/>
          <w:sz w:val="16"/>
          <w:szCs w:val="16"/>
          <w:color w:val="auto"/>
        </w:rPr>
      </w:pPr>
    </w:p>
    <w:p>
      <w:pPr>
        <w:ind w:left="285" w:right="180" w:hanging="285"/>
        <w:spacing w:after="0" w:line="340" w:lineRule="auto"/>
        <w:tabs>
          <w:tab w:leader="none" w:pos="285"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4" w:lineRule="exact"/>
        <w:rPr>
          <w:rFonts w:ascii="Times New Roman" w:cs="Times New Roman" w:eastAsia="Times New Roman" w:hAnsi="Times New Roman"/>
          <w:sz w:val="14"/>
          <w:szCs w:val="14"/>
          <w:color w:val="auto"/>
        </w:rPr>
      </w:pPr>
    </w:p>
    <w:p>
      <w:pPr>
        <w:ind w:left="285" w:right="580" w:hanging="285"/>
        <w:spacing w:after="0" w:line="267" w:lineRule="auto"/>
        <w:tabs>
          <w:tab w:leader="none" w:pos="285"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Times New Roman" w:cs="Times New Roman" w:eastAsia="Times New Roman" w:hAnsi="Times New Roman"/>
          <w:sz w:val="16"/>
          <w:szCs w:val="16"/>
          <w:color w:val="auto"/>
        </w:rPr>
      </w:pPr>
    </w:p>
    <w:p>
      <w:pPr>
        <w:ind w:left="285" w:right="140" w:hanging="285"/>
        <w:spacing w:after="0" w:line="267" w:lineRule="auto"/>
        <w:tabs>
          <w:tab w:leader="none" w:pos="285"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50" w:lineRule="exact"/>
        <w:rPr>
          <w:rFonts w:ascii="Times New Roman" w:cs="Times New Roman" w:eastAsia="Times New Roman" w:hAnsi="Times New Roman"/>
          <w:sz w:val="16"/>
          <w:szCs w:val="16"/>
          <w:color w:val="auto"/>
        </w:rPr>
      </w:pPr>
    </w:p>
    <w:p>
      <w:pPr>
        <w:ind w:left="565" w:right="120" w:hanging="284"/>
        <w:spacing w:after="0" w:line="255" w:lineRule="auto"/>
        <w:tabs>
          <w:tab w:leader="none" w:pos="565" w:val="left"/>
        </w:tabs>
        <w:numPr>
          <w:ilvl w:val="1"/>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Times New Roman" w:cs="Times New Roman" w:eastAsia="Times New Roman" w:hAnsi="Times New Roman"/>
          <w:sz w:val="16"/>
          <w:szCs w:val="16"/>
          <w:color w:val="auto"/>
        </w:rPr>
      </w:pPr>
    </w:p>
    <w:p>
      <w:pPr>
        <w:ind w:left="565" w:right="100" w:hanging="284"/>
        <w:spacing w:after="0" w:line="255" w:lineRule="auto"/>
        <w:tabs>
          <w:tab w:leader="none" w:pos="565" w:val="left"/>
        </w:tabs>
        <w:numPr>
          <w:ilvl w:val="1"/>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Times New Roman" w:cs="Times New Roman" w:eastAsia="Times New Roman" w:hAnsi="Times New Roman"/>
          <w:sz w:val="16"/>
          <w:szCs w:val="16"/>
          <w:color w:val="auto"/>
        </w:rPr>
      </w:pPr>
    </w:p>
    <w:p>
      <w:pPr>
        <w:ind w:left="565" w:right="160" w:hanging="284"/>
        <w:spacing w:after="0" w:line="267" w:lineRule="auto"/>
        <w:tabs>
          <w:tab w:leader="none" w:pos="565" w:val="left"/>
        </w:tabs>
        <w:numPr>
          <w:ilvl w:val="1"/>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Times New Roman" w:cs="Times New Roman" w:eastAsia="Times New Roman" w:hAnsi="Times New Roman"/>
          <w:sz w:val="16"/>
          <w:szCs w:val="16"/>
          <w:color w:val="auto"/>
        </w:rPr>
      </w:pPr>
    </w:p>
    <w:p>
      <w:pPr>
        <w:ind w:left="565" w:right="20" w:hanging="284"/>
        <w:spacing w:after="0" w:line="255" w:lineRule="auto"/>
        <w:tabs>
          <w:tab w:leader="none" w:pos="565" w:val="left"/>
        </w:tabs>
        <w:numPr>
          <w:ilvl w:val="1"/>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Times New Roman" w:cs="Times New Roman" w:eastAsia="Times New Roman" w:hAnsi="Times New Roman"/>
          <w:sz w:val="16"/>
          <w:szCs w:val="16"/>
          <w:color w:val="auto"/>
        </w:rPr>
      </w:pPr>
    </w:p>
    <w:p>
      <w:pPr>
        <w:ind w:left="285" w:right="520" w:hanging="285"/>
        <w:spacing w:after="0" w:line="267" w:lineRule="auto"/>
        <w:tabs>
          <w:tab w:leader="none" w:pos="285"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Times New Roman" w:cs="Times New Roman" w:eastAsia="Times New Roman" w:hAnsi="Times New Roman"/>
          <w:sz w:val="16"/>
          <w:szCs w:val="16"/>
          <w:color w:val="auto"/>
        </w:rPr>
      </w:pPr>
    </w:p>
    <w:p>
      <w:pPr>
        <w:ind w:left="565" w:right="80" w:hanging="284"/>
        <w:spacing w:after="0" w:line="267" w:lineRule="auto"/>
        <w:tabs>
          <w:tab w:leader="none" w:pos="565" w:val="left"/>
        </w:tabs>
        <w:numPr>
          <w:ilvl w:val="1"/>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Times New Roman" w:cs="Times New Roman" w:eastAsia="Times New Roman" w:hAnsi="Times New Roman"/>
          <w:sz w:val="16"/>
          <w:szCs w:val="16"/>
          <w:color w:val="auto"/>
        </w:rPr>
      </w:pPr>
    </w:p>
    <w:p>
      <w:pPr>
        <w:ind w:left="565" w:right="60" w:hanging="284"/>
        <w:spacing w:after="0" w:line="267" w:lineRule="auto"/>
        <w:tabs>
          <w:tab w:leader="none" w:pos="565" w:val="left"/>
        </w:tabs>
        <w:numPr>
          <w:ilvl w:val="1"/>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controls over financial reporting.</w:t>
      </w:r>
    </w:p>
    <w:p>
      <w:pPr>
        <w:spacing w:after="0" w:line="151" w:lineRule="exact"/>
        <w:rPr>
          <w:sz w:val="20"/>
          <w:szCs w:val="20"/>
          <w:color w:val="auto"/>
        </w:rPr>
      </w:pPr>
    </w:p>
    <w:tbl>
      <w:tblPr>
        <w:tblLayout w:type="fixed"/>
        <w:tblInd w:w="5" w:type="dxa"/>
        <w:tblCellMar>
          <w:top w:w="0" w:type="dxa"/>
          <w:left w:w="0" w:type="dxa"/>
          <w:bottom w:w="0" w:type="dxa"/>
          <w:right w:w="0" w:type="dxa"/>
        </w:tblCellMar>
      </w:tblP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Date: August 13, 2025</w:t>
            </w:r>
          </w:p>
        </w:tc>
        <w:tc>
          <w:tcPr>
            <w:tcW w:w="6800" w:type="dxa"/>
            <w:vAlign w:val="bottom"/>
            <w:gridSpan w:val="2"/>
          </w:tcPr>
          <w:p>
            <w:pPr>
              <w:ind w:left="1700"/>
              <w:spacing w:after="0"/>
              <w:rPr>
                <w:sz w:val="20"/>
                <w:szCs w:val="20"/>
                <w:color w:val="auto"/>
              </w:rPr>
            </w:pPr>
            <w:r>
              <w:rPr>
                <w:rFonts w:ascii="Times New Roman" w:cs="Times New Roman" w:eastAsia="Times New Roman" w:hAnsi="Times New Roman"/>
                <w:sz w:val="16"/>
                <w:szCs w:val="16"/>
                <w:color w:val="auto"/>
              </w:rPr>
              <w:t>By: /s/ David Shane</w:t>
            </w:r>
          </w:p>
        </w:tc>
      </w:tr>
      <w:tr>
        <w:trPr>
          <w:trHeight w:val="162"/>
        </w:trPr>
        <w:tc>
          <w:tcPr>
            <w:tcW w:w="31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840" w:type="dxa"/>
            <w:vAlign w:val="bottom"/>
            <w:tcBorders>
              <w:top w:val="single" w:sz="8" w:color="auto"/>
            </w:tcBorders>
          </w:tcPr>
          <w:p>
            <w:pPr>
              <w:spacing w:after="0" w:line="162" w:lineRule="exact"/>
              <w:rPr>
                <w:sz w:val="20"/>
                <w:szCs w:val="20"/>
                <w:color w:val="auto"/>
              </w:rPr>
            </w:pPr>
            <w:r>
              <w:rPr>
                <w:rFonts w:ascii="Times New Roman" w:cs="Times New Roman" w:eastAsia="Times New Roman" w:hAnsi="Times New Roman"/>
                <w:sz w:val="16"/>
                <w:szCs w:val="16"/>
                <w:color w:val="auto"/>
              </w:rPr>
              <w:t>David Shane</w:t>
            </w:r>
          </w:p>
        </w:tc>
      </w:tr>
      <w:tr>
        <w:trPr>
          <w:trHeight w:val="187"/>
        </w:trPr>
        <w:tc>
          <w:tcPr>
            <w:tcW w:w="31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187"/>
        </w:trPr>
        <w:tc>
          <w:tcPr>
            <w:tcW w:w="31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(Principal Financial Officer and</w:t>
            </w:r>
          </w:p>
        </w:tc>
      </w:tr>
      <w:tr>
        <w:trPr>
          <w:trHeight w:val="203"/>
        </w:trPr>
        <w:tc>
          <w:tcPr>
            <w:tcW w:w="31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Principal Accounting Officer)</w:t>
            </w:r>
          </w:p>
        </w:tc>
      </w:tr>
      <w:tr>
        <w:trPr>
          <w:trHeight w:val="669"/>
        </w:trPr>
        <w:tc>
          <w:tcPr>
            <w:tcW w:w="3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9945"/>
          </w:cols>
          <w:pgMar w:left="975" w:top="121" w:right="97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6"/>
          <w:szCs w:val="16"/>
          <w:b w:val="1"/>
          <w:bCs w:val="1"/>
          <w:color w:val="auto"/>
        </w:rPr>
        <w:t>18 U.S.C. SECTION 1350, AS ADOPTED PURSUANT TO</w:t>
      </w:r>
    </w:p>
    <w:p>
      <w:pPr>
        <w:spacing w:after="0" w:line="3"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7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6"/>
          <w:szCs w:val="16"/>
          <w:color w:val="auto"/>
        </w:rPr>
        <w:t>In connection with the Quarterly Report of Binah Capital Group, Inc. (the “Company”) on Form 10-Q for the quarterly period ended June 30, 2025, as filed with the Securities and Exchange Commission on the date hereof (the “Report”), I, Craig Gould, Chief Executive Officer of the Company, certify, pursuant to 18 U.S.C. Section 1350, as adopted pursuant to Section 906 of the Sarbanes-Oxley Act of 2002, that, to my knowledge:</w:t>
      </w:r>
    </w:p>
    <w:p>
      <w:pPr>
        <w:spacing w:after="0" w:line="160" w:lineRule="exact"/>
        <w:rPr>
          <w:sz w:val="20"/>
          <w:szCs w:val="20"/>
          <w:color w:val="auto"/>
        </w:rPr>
      </w:pPr>
    </w:p>
    <w:p>
      <w:pPr>
        <w:ind w:left="560" w:hanging="284"/>
        <w:spacing w:after="0"/>
        <w:tabs>
          <w:tab w:leader="none" w:pos="56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89" w:lineRule="exact"/>
        <w:rPr>
          <w:rFonts w:ascii="Times New Roman" w:cs="Times New Roman" w:eastAsia="Times New Roman" w:hAnsi="Times New Roman"/>
          <w:sz w:val="16"/>
          <w:szCs w:val="16"/>
          <w:color w:val="auto"/>
        </w:rPr>
      </w:pPr>
    </w:p>
    <w:p>
      <w:pPr>
        <w:ind w:right="420" w:firstLine="276"/>
        <w:spacing w:after="0" w:line="487" w:lineRule="auto"/>
        <w:tabs>
          <w:tab w:leader="none" w:pos="557"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 Date: August 13, 2025</w:t>
      </w:r>
    </w:p>
    <w:p>
      <w:pPr>
        <w:spacing w:after="0"/>
        <w:rPr>
          <w:sz w:val="20"/>
          <w:szCs w:val="20"/>
          <w:color w:val="auto"/>
        </w:rPr>
      </w:pPr>
      <w:r>
        <w:rPr>
          <w:rFonts w:ascii="Times New Roman" w:cs="Times New Roman" w:eastAsia="Times New Roman" w:hAnsi="Times New Roman"/>
          <w:sz w:val="16"/>
          <w:szCs w:val="16"/>
          <w:color w:val="auto"/>
        </w:rPr>
        <w:t>/s/ Craig Gould</w:t>
      </w:r>
    </w:p>
    <w:p>
      <w:pPr>
        <w:spacing w:after="0" w:line="1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6"/>
          <w:szCs w:val="16"/>
          <w:color w:val="auto"/>
        </w:rPr>
        <w:t>Name:</w:t>
        <w:tab/>
        <w:t>Craig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314960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149600" cy="7620"/>
                    </a:xfrm>
                    <a:prstGeom prst="rect">
                      <a:avLst/>
                    </a:prstGeom>
                    <a:noFill/>
                  </pic:spPr>
                </pic:pic>
              </a:graphicData>
            </a:graphic>
          </wp:anchor>
        </w:drawing>
      </w:r>
    </w:p>
    <w:p>
      <w:pPr>
        <w:spacing w:after="0"/>
        <w:tabs>
          <w:tab w:leader="none" w:pos="560" w:val="left"/>
        </w:tabs>
        <w:rPr>
          <w:sz w:val="20"/>
          <w:szCs w:val="20"/>
          <w:color w:val="auto"/>
        </w:rPr>
      </w:pPr>
      <w:r>
        <w:rPr>
          <w:rFonts w:ascii="Times New Roman" w:cs="Times New Roman" w:eastAsia="Times New Roman" w:hAnsi="Times New Roman"/>
          <w:sz w:val="16"/>
          <w:szCs w:val="16"/>
          <w:color w:val="auto"/>
        </w:rPr>
        <w:t>Title:</w:t>
        <w:tab/>
        <w:t>Chief Executive Officer</w:t>
      </w:r>
    </w:p>
    <w:p>
      <w:pPr>
        <w:spacing w:after="0" w:line="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417195</wp:posOffset>
            </wp:positionV>
            <wp:extent cx="6306185" cy="222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306185" cy="22225"/>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6"/>
          <w:szCs w:val="16"/>
          <w:b w:val="1"/>
          <w:bCs w:val="1"/>
          <w:color w:val="auto"/>
        </w:rPr>
        <w:t>18 U.S.C. SECTION 1350, AS ADOPTED PURSUANT TO</w:t>
      </w:r>
    </w:p>
    <w:p>
      <w:pPr>
        <w:spacing w:after="0" w:line="3"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7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6"/>
          <w:szCs w:val="16"/>
          <w:color w:val="auto"/>
        </w:rPr>
        <w:t>In connection with the Quarterly Report of Binah Capital Group, Inc. (the “Company”) on Form 10-Q for the quarterly period ended June 30, 2025, as filed with the Securities and Exchange Commission on the date hereof (the “Report”), I, David Shane, Chief Financial Officer of the Company, certify, pursuant to 18 U.S.C. Section 1350, as adopted pursuant to Section 906 of the Sarbanes-Oxley Act of 2002, that, to my knowledge:</w:t>
      </w:r>
    </w:p>
    <w:p>
      <w:pPr>
        <w:spacing w:after="0" w:line="160" w:lineRule="exact"/>
        <w:rPr>
          <w:sz w:val="20"/>
          <w:szCs w:val="20"/>
          <w:color w:val="auto"/>
        </w:rPr>
      </w:pPr>
    </w:p>
    <w:p>
      <w:pPr>
        <w:ind w:left="560" w:hanging="284"/>
        <w:spacing w:after="0"/>
        <w:tabs>
          <w:tab w:leader="none" w:pos="56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89" w:lineRule="exact"/>
        <w:rPr>
          <w:rFonts w:ascii="Times New Roman" w:cs="Times New Roman" w:eastAsia="Times New Roman" w:hAnsi="Times New Roman"/>
          <w:sz w:val="16"/>
          <w:szCs w:val="16"/>
          <w:color w:val="auto"/>
        </w:rPr>
      </w:pPr>
    </w:p>
    <w:p>
      <w:pPr>
        <w:ind w:right="420" w:firstLine="276"/>
        <w:spacing w:after="0" w:line="487" w:lineRule="auto"/>
        <w:tabs>
          <w:tab w:leader="none" w:pos="557"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 Date: August 13, 2025</w:t>
      </w:r>
    </w:p>
    <w:p>
      <w:pPr>
        <w:spacing w:after="0"/>
        <w:rPr>
          <w:sz w:val="20"/>
          <w:szCs w:val="20"/>
          <w:color w:val="auto"/>
        </w:rPr>
      </w:pPr>
      <w:r>
        <w:rPr>
          <w:rFonts w:ascii="Times New Roman" w:cs="Times New Roman" w:eastAsia="Times New Roman" w:hAnsi="Times New Roman"/>
          <w:sz w:val="16"/>
          <w:szCs w:val="16"/>
          <w:color w:val="auto"/>
        </w:rPr>
        <w:t>/s/ David Shane</w:t>
      </w:r>
    </w:p>
    <w:p>
      <w:pPr>
        <w:spacing w:after="0" w:line="1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6"/>
          <w:szCs w:val="16"/>
          <w:color w:val="auto"/>
        </w:rPr>
        <w:t>Name:</w:t>
        <w:tab/>
        <w:t>David Shane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314960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149600" cy="7620"/>
                    </a:xfrm>
                    <a:prstGeom prst="rect">
                      <a:avLst/>
                    </a:prstGeom>
                    <a:noFill/>
                  </pic:spPr>
                </pic:pic>
              </a:graphicData>
            </a:graphic>
          </wp:anchor>
        </w:drawing>
      </w:r>
    </w:p>
    <w:p>
      <w:pPr>
        <w:spacing w:after="0"/>
        <w:tabs>
          <w:tab w:leader="none" w:pos="560" w:val="left"/>
        </w:tabs>
        <w:rPr>
          <w:sz w:val="20"/>
          <w:szCs w:val="20"/>
          <w:color w:val="auto"/>
        </w:rPr>
      </w:pPr>
      <w:r>
        <w:rPr>
          <w:rFonts w:ascii="Times New Roman" w:cs="Times New Roman" w:eastAsia="Times New Roman" w:hAnsi="Times New Roman"/>
          <w:sz w:val="16"/>
          <w:szCs w:val="16"/>
          <w:color w:val="auto"/>
        </w:rPr>
        <w:t>Title:</w:t>
        <w:tab/>
        <w:t>Chief Financial Officer</w:t>
      </w:r>
    </w:p>
    <w:p>
      <w:pPr>
        <w:spacing w:after="0" w:line="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417195</wp:posOffset>
            </wp:positionV>
            <wp:extent cx="6306185" cy="222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306185" cy="22225"/>
                    </a:xfrm>
                    <a:prstGeom prst="rect">
                      <a:avLst/>
                    </a:prstGeom>
                    <a:noFill/>
                  </pic:spPr>
                </pic:pic>
              </a:graphicData>
            </a:graphic>
          </wp:anchor>
        </w:drawing>
      </w:r>
    </w:p>
    <w:sectPr>
      <w:pgSz w:w="11900" w:h="16838" w:orient="portrait"/>
      <w:cols w:equalWidth="0" w:num="1">
        <w:col w:w="9940"/>
      </w:cols>
      <w:pgMar w:left="980" w:top="121"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5B5AF5C"/>
    <w:multiLevelType w:val="hybridMultilevel"/>
    <w:lvl w:ilvl="0">
      <w:lvlJc w:val="left"/>
      <w:lvlText w:val="☒"/>
      <w:numFmt w:val="bullet"/>
      <w:start w:val="1"/>
    </w:lvl>
  </w:abstractNum>
  <w:abstractNum w:abstractNumId="1">
    <w:nsid w:val="741226BB"/>
    <w:multiLevelType w:val="hybridMultilevel"/>
    <w:lvl w:ilvl="0">
      <w:lvlJc w:val="left"/>
      <w:lvlText w:val="☐"/>
      <w:numFmt w:val="bullet"/>
      <w:start w:val="1"/>
    </w:lvl>
  </w:abstractNum>
  <w:abstractNum w:abstractNumId="2">
    <w:nsid w:val="D34B6A8"/>
    <w:multiLevelType w:val="hybridMultilevel"/>
    <w:lvl w:ilvl="0">
      <w:lvlJc w:val="left"/>
      <w:lvlText w:val="%1."/>
      <w:numFmt w:val="decimal"/>
      <w:start w:val="1"/>
    </w:lvl>
  </w:abstractNum>
  <w:abstractNum w:abstractNumId="3">
    <w:nsid w:val="10233C99"/>
    <w:multiLevelType w:val="hybridMultilevel"/>
    <w:lvl w:ilvl="0">
      <w:lvlJc w:val="left"/>
      <w:lvlText w:val="●"/>
      <w:numFmt w:val="bullet"/>
      <w:start w:val="1"/>
    </w:lvl>
  </w:abstractNum>
  <w:abstractNum w:abstractNumId="4">
    <w:nsid w:val="3F6AB60F"/>
    <w:multiLevelType w:val="hybridMultilevel"/>
    <w:lvl w:ilvl="0">
      <w:lvlJc w:val="left"/>
      <w:lvlText w:val="●"/>
      <w:numFmt w:val="bullet"/>
      <w:start w:val="1"/>
    </w:lvl>
    <w:lvl w:ilvl="1">
      <w:lvlJc w:val="left"/>
      <w:lvlText w:val="o"/>
      <w:numFmt w:val="bullet"/>
      <w:start w:val="1"/>
    </w:lvl>
  </w:abstractNum>
  <w:abstractNum w:abstractNumId="5">
    <w:nsid w:val="61574095"/>
    <w:multiLevelType w:val="hybridMultilevel"/>
    <w:lvl w:ilvl="0">
      <w:lvlJc w:val="left"/>
      <w:lvlText w:val="%1."/>
      <w:numFmt w:val="decimal"/>
      <w:start w:val="1"/>
    </w:lvl>
  </w:abstractNum>
  <w:abstractNum w:abstractNumId="6">
    <w:nsid w:val="7E0C57B1"/>
    <w:multiLevelType w:val="hybridMultilevel"/>
    <w:lvl w:ilvl="0">
      <w:lvlJc w:val="left"/>
      <w:lvlText w:val="%1."/>
      <w:numFmt w:val="decimal"/>
      <w:start w:val="2"/>
    </w:lvl>
  </w:abstractNum>
  <w:abstractNum w:abstractNumId="7">
    <w:nsid w:val="77AE35EB"/>
    <w:multiLevelType w:val="hybridMultilevel"/>
    <w:lvl w:ilvl="0">
      <w:lvlJc w:val="left"/>
      <w:lvlText w:val="%1."/>
      <w:numFmt w:val="decimal"/>
      <w:start w:val="2"/>
    </w:lvl>
  </w:abstractNum>
  <w:abstractNum w:abstractNumId="8">
    <w:nsid w:val="579BE4F1"/>
    <w:multiLevelType w:val="hybridMultilevel"/>
    <w:lvl w:ilvl="0">
      <w:lvlJc w:val="left"/>
      <w:lvlText w:val="%1."/>
      <w:numFmt w:val="decimal"/>
      <w:start w:val="3"/>
    </w:lvl>
  </w:abstractNum>
  <w:abstractNum w:abstractNumId="9">
    <w:nsid w:val="310C50B3"/>
    <w:multiLevelType w:val="hybridMultilevel"/>
    <w:lvl w:ilvl="0">
      <w:lvlJc w:val="left"/>
      <w:lvlText w:val="(%1)"/>
      <w:numFmt w:val="lowerRoman"/>
      <w:start w:val="2"/>
    </w:lvl>
  </w:abstractNum>
  <w:abstractNum w:abstractNumId="10">
    <w:nsid w:val="5FF87E05"/>
    <w:multiLevelType w:val="hybridMultilevel"/>
    <w:lvl w:ilvl="0">
      <w:lvlJc w:val="left"/>
      <w:lvlText w:val="%1."/>
      <w:numFmt w:val="decimal"/>
      <w:start w:val="4"/>
    </w:lvl>
  </w:abstractNum>
  <w:abstractNum w:abstractNumId="11">
    <w:nsid w:val="2F305DEF"/>
    <w:multiLevelType w:val="hybridMultilevel"/>
    <w:lvl w:ilvl="0">
      <w:lvlJc w:val="left"/>
      <w:lvlText w:val="%1."/>
      <w:numFmt w:val="decimal"/>
      <w:start w:val="4"/>
    </w:lvl>
  </w:abstractNum>
  <w:abstractNum w:abstractNumId="12">
    <w:nsid w:val="25A70BF7"/>
    <w:multiLevelType w:val="hybridMultilevel"/>
    <w:lvl w:ilvl="0">
      <w:lvlJc w:val="left"/>
      <w:lvlText w:val="%1."/>
      <w:numFmt w:val="decimal"/>
      <w:start w:val="4"/>
    </w:lvl>
  </w:abstractNum>
  <w:abstractNum w:abstractNumId="13">
    <w:nsid w:val="1DBABF00"/>
    <w:multiLevelType w:val="hybridMultilevel"/>
    <w:lvl w:ilvl="0">
      <w:lvlJc w:val="left"/>
      <w:lvlText w:val="%1."/>
      <w:numFmt w:val="decimal"/>
      <w:start w:val="5"/>
    </w:lvl>
  </w:abstractNum>
  <w:abstractNum w:abstractNumId="14">
    <w:nsid w:val="4AD084E9"/>
    <w:multiLevelType w:val="hybridMultilevel"/>
    <w:lvl w:ilvl="0">
      <w:lvlJc w:val="left"/>
      <w:lvlText w:val="●"/>
      <w:numFmt w:val="bullet"/>
      <w:start w:val="1"/>
    </w:lvl>
  </w:abstractNum>
  <w:abstractNum w:abstractNumId="15">
    <w:nsid w:val="1F48EAA1"/>
    <w:multiLevelType w:val="hybridMultilevel"/>
    <w:lvl w:ilvl="0">
      <w:lvlJc w:val="left"/>
      <w:lvlText w:val="%1."/>
      <w:numFmt w:val="decimal"/>
      <w:start w:val="6"/>
    </w:lvl>
  </w:abstractNum>
  <w:abstractNum w:abstractNumId="16">
    <w:nsid w:val="1381823A"/>
    <w:multiLevelType w:val="hybridMultilevel"/>
    <w:lvl w:ilvl="0">
      <w:lvlJc w:val="left"/>
      <w:lvlText w:val="%1."/>
      <w:numFmt w:val="decimal"/>
      <w:start w:val="6"/>
    </w:lvl>
  </w:abstractNum>
  <w:abstractNum w:abstractNumId="17">
    <w:nsid w:val="5DB70AE5"/>
    <w:multiLevelType w:val="hybridMultilevel"/>
    <w:lvl w:ilvl="0">
      <w:lvlJc w:val="left"/>
      <w:lvlText w:val="%1."/>
      <w:numFmt w:val="decimal"/>
      <w:start w:val="7"/>
    </w:lvl>
  </w:abstractNum>
  <w:abstractNum w:abstractNumId="18">
    <w:nsid w:val="100F8FCA"/>
    <w:multiLevelType w:val="hybridMultilevel"/>
    <w:lvl w:ilvl="0">
      <w:lvlJc w:val="left"/>
      <w:lvlText w:val="%1."/>
      <w:numFmt w:val="decimal"/>
      <w:start w:val="8"/>
    </w:lvl>
  </w:abstractNum>
  <w:abstractNum w:abstractNumId="19">
    <w:nsid w:val="6590700B"/>
    <w:multiLevelType w:val="hybridMultilevel"/>
    <w:lvl w:ilvl="0">
      <w:lvlJc w:val="left"/>
      <w:lvlText w:val="%1."/>
      <w:numFmt w:val="decimal"/>
      <w:start w:val="8"/>
    </w:lvl>
  </w:abstractNum>
  <w:abstractNum w:abstractNumId="20">
    <w:nsid w:val="15014ACB"/>
    <w:multiLevelType w:val="hybridMultilevel"/>
    <w:lvl w:ilvl="0">
      <w:lvlJc w:val="left"/>
      <w:lvlText w:val="●"/>
      <w:numFmt w:val="bullet"/>
      <w:start w:val="1"/>
    </w:lvl>
  </w:abstractNum>
  <w:abstractNum w:abstractNumId="21">
    <w:nsid w:val="5F5E7FD0"/>
    <w:multiLevelType w:val="hybridMultilevel"/>
    <w:lvl w:ilvl="0">
      <w:lvlJc w:val="left"/>
      <w:lvlText w:val="●"/>
      <w:numFmt w:val="bullet"/>
      <w:start w:val="1"/>
    </w:lvl>
  </w:abstractNum>
  <w:abstractNum w:abstractNumId="22">
    <w:nsid w:val="98A3148"/>
    <w:multiLevelType w:val="hybridMultilevel"/>
    <w:lvl w:ilvl="0">
      <w:lvlJc w:val="left"/>
      <w:lvlText w:val="%1."/>
      <w:numFmt w:val="decimal"/>
      <w:start w:val="9"/>
    </w:lvl>
  </w:abstractNum>
  <w:abstractNum w:abstractNumId="23">
    <w:nsid w:val="799D0247"/>
    <w:multiLevelType w:val="hybridMultilevel"/>
    <w:lvl w:ilvl="0">
      <w:lvlJc w:val="left"/>
      <w:lvlText w:val="%1."/>
      <w:numFmt w:val="decimal"/>
      <w:start w:val="14"/>
    </w:lvl>
  </w:abstractNum>
  <w:abstractNum w:abstractNumId="24">
    <w:nsid w:val="6B94764"/>
    <w:multiLevelType w:val="hybridMultilevel"/>
    <w:lvl w:ilvl="0">
      <w:lvlJc w:val="left"/>
      <w:lvlText w:val="%1."/>
      <w:numFmt w:val="decimal"/>
      <w:start w:val="15"/>
    </w:lvl>
    <w:lvl w:ilvl="1">
      <w:lvlJc w:val="left"/>
      <w:lvlText w:val="●"/>
      <w:numFmt w:val="bullet"/>
      <w:start w:val="1"/>
    </w:lvl>
  </w:abstractNum>
  <w:abstractNum w:abstractNumId="25">
    <w:nsid w:val="42C296BD"/>
    <w:multiLevelType w:val="hybridMultilevel"/>
    <w:lvl w:ilvl="0">
      <w:lvlJc w:val="left"/>
      <w:lvlText w:val="(%1)"/>
      <w:numFmt w:val="decimal"/>
      <w:start w:val="1"/>
    </w:lvl>
  </w:abstractNum>
  <w:abstractNum w:abstractNumId="26">
    <w:nsid w:val="168E121F"/>
    <w:multiLevelType w:val="hybridMultilevel"/>
    <w:lvl w:ilvl="0">
      <w:lvlJc w:val="left"/>
      <w:lvlText w:val="(%1)"/>
      <w:numFmt w:val="decimal"/>
      <w:start w:val="2"/>
    </w:lvl>
  </w:abstractNum>
  <w:abstractNum w:abstractNumId="27">
    <w:nsid w:val="1EBA5D23"/>
    <w:multiLevelType w:val="hybridMultilevel"/>
    <w:lvl w:ilvl="0">
      <w:lvlJc w:val="left"/>
      <w:lvlText w:val="-"/>
      <w:numFmt w:val="bullet"/>
      <w:start w:val="1"/>
    </w:lvl>
  </w:abstractNum>
  <w:abstractNum w:abstractNumId="28">
    <w:nsid w:val="661E3F1E"/>
    <w:multiLevelType w:val="hybridMultilevel"/>
    <w:lvl w:ilvl="0">
      <w:lvlJc w:val="left"/>
      <w:lvlText w:val="(%1)"/>
      <w:numFmt w:val="decimal"/>
      <w:start w:val="1"/>
    </w:lvl>
  </w:abstractNum>
  <w:abstractNum w:abstractNumId="29">
    <w:nsid w:val="5DC79EA8"/>
    <w:multiLevelType w:val="hybridMultilevel"/>
    <w:lvl w:ilvl="0">
      <w:lvlJc w:val="left"/>
      <w:lvlText w:val="(%1)"/>
      <w:numFmt w:val="decimal"/>
      <w:start w:val="1"/>
    </w:lvl>
  </w:abstractNum>
  <w:abstractNum w:abstractNumId="30">
    <w:nsid w:val="540A471C"/>
    <w:multiLevelType w:val="hybridMultilevel"/>
    <w:lvl w:ilvl="0">
      <w:lvlJc w:val="left"/>
      <w:lvlText w:val="●"/>
      <w:numFmt w:val="bullet"/>
      <w:start w:val="1"/>
    </w:lvl>
  </w:abstractNum>
  <w:abstractNum w:abstractNumId="31">
    <w:nsid w:val="7BD3EE7B"/>
    <w:multiLevelType w:val="hybridMultilevel"/>
    <w:lvl w:ilvl="0">
      <w:lvlJc w:val="left"/>
      <w:lvlText w:val="●"/>
      <w:numFmt w:val="bullet"/>
      <w:start w:val="1"/>
    </w:lvl>
  </w:abstractNum>
  <w:abstractNum w:abstractNumId="32">
    <w:nsid w:val="51D9C564"/>
    <w:multiLevelType w:val="hybridMultilevel"/>
    <w:lvl w:ilvl="0">
      <w:lvlJc w:val="left"/>
      <w:lvlText w:val="(%1)"/>
      <w:numFmt w:val="decimal"/>
      <w:start w:val="1"/>
    </w:lvl>
  </w:abstractNum>
  <w:abstractNum w:abstractNumId="33">
    <w:nsid w:val="613EFDC5"/>
    <w:multiLevelType w:val="hybridMultilevel"/>
    <w:lvl w:ilvl="0">
      <w:lvlJc w:val="left"/>
      <w:lvlText w:val="(%1)"/>
      <w:numFmt w:val="decimal"/>
      <w:start w:val="2"/>
    </w:lvl>
  </w:abstractNum>
  <w:abstractNum w:abstractNumId="34">
    <w:nsid w:val="BF72B14"/>
    <w:multiLevelType w:val="hybridMultilevel"/>
    <w:lvl w:ilvl="0">
      <w:lvlJc w:val="left"/>
      <w:lvlText w:val="%1."/>
      <w:numFmt w:val="decimal"/>
      <w:start w:val="1"/>
    </w:lvl>
  </w:abstractNum>
  <w:abstractNum w:abstractNumId="35">
    <w:nsid w:val="11447B73"/>
    <w:multiLevelType w:val="hybridMultilevel"/>
    <w:lvl w:ilvl="0">
      <w:lvlJc w:val="left"/>
      <w:lvlText w:val="%1."/>
      <w:numFmt w:val="decimal"/>
      <w:start w:val="2"/>
    </w:lvl>
  </w:abstractNum>
  <w:abstractNum w:abstractNumId="36">
    <w:nsid w:val="42963E5A"/>
    <w:multiLevelType w:val="hybridMultilevel"/>
    <w:lvl w:ilvl="0">
      <w:lvlJc w:val="left"/>
      <w:lvlText w:val="%1."/>
      <w:numFmt w:val="decimal"/>
      <w:start w:val="3"/>
    </w:lvl>
  </w:abstractNum>
  <w:abstractNum w:abstractNumId="37">
    <w:nsid w:val="A0382C5"/>
    <w:multiLevelType w:val="hybridMultilevel"/>
    <w:lvl w:ilvl="0">
      <w:lvlJc w:val="left"/>
      <w:lvlText w:val="%1."/>
      <w:numFmt w:val="decimal"/>
      <w:start w:val="4"/>
    </w:lvl>
  </w:abstractNum>
  <w:abstractNum w:abstractNumId="38">
    <w:nsid w:val="8F2B15E"/>
    <w:multiLevelType w:val="hybridMultilevel"/>
    <w:lvl w:ilvl="0">
      <w:lvlJc w:val="left"/>
      <w:lvlText w:val="%1."/>
      <w:numFmt w:val="decimal"/>
      <w:start w:val="5"/>
    </w:lvl>
  </w:abstractNum>
  <w:abstractNum w:abstractNumId="39">
    <w:nsid w:val="1A32234B"/>
    <w:multiLevelType w:val="hybridMultilevel"/>
    <w:lvl w:ilvl="0">
      <w:lvlJc w:val="left"/>
      <w:lvlText w:val="%1."/>
      <w:numFmt w:val="decimal"/>
      <w:start w:val="6"/>
    </w:lvl>
  </w:abstractNum>
  <w:abstractNum w:abstractNumId="40">
    <w:nsid w:val="3B0FD379"/>
    <w:multiLevelType w:val="hybridMultilevel"/>
    <w:lvl w:ilvl="0">
      <w:lvlJc w:val="left"/>
      <w:lvlText w:val="%1."/>
      <w:numFmt w:val="decimal"/>
      <w:start w:val="7"/>
    </w:lvl>
  </w:abstractNum>
  <w:abstractNum w:abstractNumId="41">
    <w:nsid w:val="68EB2F63"/>
    <w:multiLevelType w:val="hybridMultilevel"/>
    <w:lvl w:ilvl="0">
      <w:lvlJc w:val="left"/>
      <w:lvlText w:val="%1"/>
      <w:numFmt w:val="lowerLetter"/>
      <w:start w:val="1"/>
    </w:lvl>
    <w:lvl w:ilvl="1">
      <w:lvlJc w:val="left"/>
      <w:lvlText w:val="(%2)"/>
      <w:numFmt w:val="lowerLetter"/>
      <w:start w:val="1"/>
    </w:lvl>
  </w:abstractNum>
  <w:abstractNum w:abstractNumId="42">
    <w:nsid w:val="4962813B"/>
    <w:multiLevelType w:val="hybridMultilevel"/>
    <w:lvl w:ilvl="0">
      <w:lvlJc w:val="left"/>
      <w:lvlText w:val="(%1)"/>
      <w:numFmt w:val="lowerLetter"/>
      <w:start w:val="1"/>
    </w:lvl>
    <w:lvl w:ilvl="1">
      <w:lvlJc w:val="left"/>
      <w:lvlText w:val="%2"/>
      <w:numFmt w:val="lowerLetter"/>
      <w:start w:val="1"/>
    </w:lvl>
  </w:abstractNum>
  <w:abstractNum w:abstractNumId="43">
    <w:nsid w:val="60B6DF70"/>
    <w:multiLevelType w:val="hybridMultilevel"/>
    <w:lvl w:ilvl="0">
      <w:lvlJc w:val="left"/>
      <w:lvlText w:val="(%1)"/>
      <w:numFmt w:val="lowerLetter"/>
      <w:start w:val="4"/>
    </w:lvl>
    <w:lvl w:ilvl="1">
      <w:lvlJc w:val="left"/>
      <w:lvlText w:val="(%2)"/>
      <w:numFmt w:val="lowerLetter"/>
      <w:start w:val="2"/>
    </w:lvl>
  </w:abstractNum>
  <w:abstractNum w:abstractNumId="44">
    <w:nsid w:val="6A5EE64"/>
    <w:multiLevelType w:val="hybridMultilevel"/>
    <w:lvl w:ilvl="0">
      <w:lvlJc w:val="left"/>
      <w:lvlText w:val="%1"/>
      <w:numFmt w:val="decimal"/>
      <w:start w:val="1"/>
    </w:lvl>
    <w:lvl w:ilvl="1">
      <w:lvlJc w:val="left"/>
      <w:lvlText w:val="(%2)"/>
      <w:numFmt w:val="lowerLetter"/>
      <w:start w:val="1"/>
    </w:lvl>
  </w:abstractNum>
  <w:abstractNum w:abstractNumId="45">
    <w:nsid w:val="14330624"/>
    <w:multiLevelType w:val="hybridMultilevel"/>
    <w:lvl w:ilvl="0">
      <w:lvlJc w:val="left"/>
      <w:lvlText w:val="%1."/>
      <w:numFmt w:val="decimal"/>
      <w:start w:val="83"/>
    </w:lvl>
    <w:lvl w:ilvl="1">
      <w:lvlJc w:val="left"/>
      <w:lvlText w:val="%2"/>
      <w:numFmt w:val="lowerLetter"/>
      <w:start w:val="1"/>
    </w:lvl>
  </w:abstractNum>
  <w:abstractNum w:abstractNumId="46">
    <w:nsid w:val="7FFFCA11"/>
    <w:multiLevelType w:val="hybridMultilevel"/>
    <w:lvl w:ilvl="0">
      <w:lvlJc w:val="left"/>
      <w:lvlText w:val="%1"/>
      <w:numFmt w:val="decimal"/>
      <w:start w:val="1"/>
    </w:lvl>
    <w:lvl w:ilvl="1">
      <w:lvlJc w:val="left"/>
      <w:lvlText w:val="(%2)"/>
      <w:numFmt w:val="lowerLetter"/>
      <w:start w:val="2"/>
    </w:lvl>
  </w:abstractNum>
  <w:abstractNum w:abstractNumId="47">
    <w:nsid w:val="1A27709E"/>
    <w:multiLevelType w:val="hybridMultilevel"/>
    <w:lvl w:ilvl="0">
      <w:lvlJc w:val="left"/>
      <w:lvlText w:val="%1."/>
      <w:numFmt w:val="decimal"/>
      <w:start w:val="8"/>
    </w:lvl>
    <w:lvl w:ilvl="1">
      <w:lvlJc w:val="left"/>
      <w:lvlText w:val="%2"/>
      <w:numFmt w:val="lowerLetter"/>
      <w:start w:val="1"/>
    </w:lvl>
  </w:abstractNum>
  <w:abstractNum w:abstractNumId="48">
    <w:nsid w:val="71EA1109"/>
    <w:multiLevelType w:val="hybridMultilevel"/>
    <w:lvl w:ilvl="0">
      <w:lvlJc w:val="left"/>
      <w:lvlText w:val="%1."/>
      <w:numFmt w:val="decimal"/>
      <w:start w:val="9"/>
    </w:lvl>
  </w:abstractNum>
  <w:abstractNum w:abstractNumId="49">
    <w:nsid w:val="100F59DC"/>
    <w:multiLevelType w:val="hybridMultilevel"/>
    <w:lvl w:ilvl="0">
      <w:lvlJc w:val="left"/>
      <w:lvlText w:val="%1."/>
      <w:numFmt w:val="decimal"/>
      <w:start w:val="10"/>
    </w:lvl>
  </w:abstractNum>
  <w:abstractNum w:abstractNumId="50">
    <w:nsid w:val="7FB7E0AA"/>
    <w:multiLevelType w:val="hybridMultilevel"/>
    <w:lvl w:ilvl="0">
      <w:lvlJc w:val="left"/>
      <w:lvlText w:val="%1."/>
      <w:numFmt w:val="decimal"/>
      <w:start w:val="11"/>
    </w:lvl>
  </w:abstractNum>
  <w:abstractNum w:abstractNumId="51">
    <w:nsid w:val="6EB5BD4"/>
    <w:multiLevelType w:val="hybridMultilevel"/>
    <w:lvl w:ilvl="0">
      <w:lvlJc w:val="left"/>
      <w:lvlText w:val="%1."/>
      <w:numFmt w:val="decimal"/>
      <w:start w:val="12"/>
    </w:lvl>
  </w:abstractNum>
  <w:abstractNum w:abstractNumId="52">
    <w:nsid w:val="6F6DD9AC"/>
    <w:multiLevelType w:val="hybridMultilevel"/>
    <w:lvl w:ilvl="0">
      <w:lvlJc w:val="left"/>
      <w:lvlText w:val="%1."/>
      <w:numFmt w:val="decimal"/>
      <w:start w:val="13"/>
    </w:lvl>
  </w:abstractNum>
  <w:abstractNum w:abstractNumId="53">
    <w:nsid w:val="94211F2"/>
    <w:multiLevelType w:val="hybridMultilevel"/>
    <w:lvl w:ilvl="0">
      <w:lvlJc w:val="left"/>
      <w:lvlText w:val="(%1)"/>
      <w:numFmt w:val="lowerLetter"/>
      <w:start w:val="1"/>
    </w:lvl>
  </w:abstractNum>
  <w:abstractNum w:abstractNumId="54">
    <w:nsid w:val="885E1B"/>
    <w:multiLevelType w:val="hybridMultilevel"/>
    <w:lvl w:ilvl="0">
      <w:lvlJc w:val="left"/>
      <w:lvlText w:val="%1."/>
      <w:numFmt w:val="decimal"/>
      <w:start w:val="1"/>
    </w:lvl>
  </w:abstractNum>
  <w:abstractNum w:abstractNumId="55">
    <w:nsid w:val="76272110"/>
    <w:multiLevelType w:val="hybridMultilevel"/>
    <w:lvl w:ilvl="0">
      <w:lvlJc w:val="left"/>
      <w:lvlText w:val="%1."/>
      <w:numFmt w:val="decimal"/>
      <w:start w:val="2"/>
    </w:lvl>
  </w:abstractNum>
  <w:abstractNum w:abstractNumId="56">
    <w:nsid w:val="4C04A8AF"/>
    <w:multiLevelType w:val="hybridMultilevel"/>
    <w:lvl w:ilvl="0">
      <w:lvlJc w:val="left"/>
      <w:lvlText w:val="%1."/>
      <w:numFmt w:val="decimal"/>
      <w:start w:val="3"/>
    </w:lvl>
  </w:abstractNum>
  <w:abstractNum w:abstractNumId="57">
    <w:nsid w:val="1716703B"/>
    <w:multiLevelType w:val="hybridMultilevel"/>
    <w:lvl w:ilvl="0">
      <w:lvlJc w:val="left"/>
      <w:lvlText w:val="%1."/>
      <w:numFmt w:val="decimal"/>
      <w:start w:val="4"/>
    </w:lvl>
  </w:abstractNum>
  <w:abstractNum w:abstractNumId="58">
    <w:nsid w:val="14E17E33"/>
    <w:multiLevelType w:val="hybridMultilevel"/>
    <w:lvl w:ilvl="0">
      <w:lvlJc w:val="left"/>
      <w:lvlText w:val="%1."/>
      <w:numFmt w:val="decimal"/>
      <w:start w:val="5"/>
    </w:lvl>
  </w:abstractNum>
  <w:abstractNum w:abstractNumId="59">
    <w:nsid w:val="3222E7CD"/>
    <w:multiLevelType w:val="hybridMultilevel"/>
    <w:lvl w:ilvl="0">
      <w:lvlJc w:val="left"/>
      <w:lvlText w:val="%1."/>
      <w:numFmt w:val="decimal"/>
      <w:start w:val="6"/>
    </w:lvl>
  </w:abstractNum>
  <w:abstractNum w:abstractNumId="60">
    <w:nsid w:val="74DE0EE3"/>
    <w:multiLevelType w:val="hybridMultilevel"/>
    <w:lvl w:ilvl="0">
      <w:lvlJc w:val="left"/>
      <w:lvlText w:val="%1."/>
      <w:numFmt w:val="decimal"/>
      <w:start w:val="7"/>
    </w:lvl>
  </w:abstractNum>
  <w:abstractNum w:abstractNumId="61">
    <w:nsid w:val="68EBC550"/>
    <w:multiLevelType w:val="hybridMultilevel"/>
    <w:lvl w:ilvl="0">
      <w:lvlJc w:val="left"/>
      <w:lvlText w:val="%1."/>
      <w:numFmt w:val="decimal"/>
      <w:start w:val="8"/>
    </w:lvl>
  </w:abstractNum>
  <w:abstractNum w:abstractNumId="62">
    <w:nsid w:val="2DF6D648"/>
    <w:multiLevelType w:val="hybridMultilevel"/>
    <w:lvl w:ilvl="0">
      <w:lvlJc w:val="left"/>
      <w:lvlText w:val="%1."/>
      <w:numFmt w:val="decimal"/>
      <w:start w:val="9"/>
    </w:lvl>
  </w:abstractNum>
  <w:abstractNum w:abstractNumId="63">
    <w:nsid w:val="46B7D447"/>
    <w:multiLevelType w:val="hybridMultilevel"/>
    <w:lvl w:ilvl="0">
      <w:lvlJc w:val="left"/>
      <w:lvlText w:val="%1."/>
      <w:numFmt w:val="decimal"/>
      <w:start w:val="10"/>
    </w:lvl>
  </w:abstractNum>
  <w:abstractNum w:abstractNumId="64">
    <w:nsid w:val="4A2AC315"/>
    <w:multiLevelType w:val="hybridMultilevel"/>
    <w:lvl w:ilvl="0">
      <w:lvlJc w:val="left"/>
      <w:lvlText w:val="%1."/>
      <w:numFmt w:val="decimal"/>
      <w:start w:val="11"/>
    </w:lvl>
  </w:abstractNum>
  <w:abstractNum w:abstractNumId="65">
    <w:nsid w:val="39EE015C"/>
    <w:multiLevelType w:val="hybridMultilevel"/>
    <w:lvl w:ilvl="0">
      <w:lvlJc w:val="left"/>
      <w:lvlText w:val="%1."/>
      <w:numFmt w:val="decimal"/>
      <w:start w:val="12"/>
    </w:lvl>
  </w:abstractNum>
  <w:abstractNum w:abstractNumId="66">
    <w:nsid w:val="57FC4FBB"/>
    <w:multiLevelType w:val="hybridMultilevel"/>
    <w:lvl w:ilvl="0">
      <w:lvlJc w:val="left"/>
      <w:lvlText w:val="%1."/>
      <w:numFmt w:val="decimal"/>
      <w:start w:val="13"/>
    </w:lvl>
  </w:abstractNum>
  <w:abstractNum w:abstractNumId="67">
    <w:nsid w:val="CC1016F"/>
    <w:multiLevelType w:val="hybridMultilevel"/>
    <w:lvl w:ilvl="0">
      <w:lvlJc w:val="left"/>
      <w:lvlText w:val="(%1)"/>
      <w:numFmt w:val="lowerLetter"/>
      <w:start w:val="1"/>
    </w:lvl>
  </w:abstractNum>
  <w:abstractNum w:abstractNumId="68">
    <w:nsid w:val="43F18422"/>
    <w:multiLevelType w:val="hybridMultilevel"/>
    <w:lvl w:ilvl="0">
      <w:lvlJc w:val="left"/>
      <w:lvlText w:val="(%1)"/>
      <w:numFmt w:val="lowerLetter"/>
      <w:start w:val="2"/>
    </w:lvl>
  </w:abstractNum>
  <w:abstractNum w:abstractNumId="69">
    <w:nsid w:val="60EF0119"/>
    <w:multiLevelType w:val="hybridMultilevel"/>
    <w:lvl w:ilvl="0">
      <w:lvlJc w:val="left"/>
      <w:lvlText w:val="%1."/>
      <w:numFmt w:val="decimal"/>
      <w:start w:val="1"/>
    </w:lvl>
  </w:abstractNum>
  <w:abstractNum w:abstractNumId="70">
    <w:nsid w:val="26F324BA"/>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71">
    <w:nsid w:val="7F01579B"/>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72">
    <w:nsid w:val="49DA307D"/>
    <w:multiLevelType w:val="hybridMultilevel"/>
    <w:lvl w:ilvl="0">
      <w:lvlJc w:val="left"/>
      <w:lvlText w:val="(%1)"/>
      <w:numFmt w:val="lowerLetter"/>
      <w:start w:val="2"/>
    </w:lvl>
  </w:abstractNum>
  <w:abstractNum w:abstractNumId="73">
    <w:nsid w:val="7055A5F5"/>
    <w:multiLevelType w:val="hybridMultilevel"/>
    <w:lvl w:ilvl="0">
      <w:lvlJc w:val="left"/>
      <w:lvlText w:val="%1."/>
      <w:numFmt w:val="decimal"/>
      <w:start w:val="3"/>
    </w:lvl>
  </w:abstractNum>
  <w:abstractNum w:abstractNumId="74">
    <w:nsid w:val="5FB8370B"/>
    <w:multiLevelType w:val="hybridMultilevel"/>
    <w:lvl w:ilvl="0">
      <w:lvlJc w:val="left"/>
      <w:lvlText w:val="%1."/>
      <w:numFmt w:val="decimal"/>
      <w:start w:val="4"/>
    </w:lvl>
  </w:abstractNum>
  <w:abstractNum w:abstractNumId="75">
    <w:nsid w:val="50801EE1"/>
    <w:multiLevelType w:val="hybridMultilevel"/>
    <w:lvl w:ilvl="0">
      <w:lvlJc w:val="left"/>
      <w:lvlText w:val="(%1)"/>
      <w:numFmt w:val="lowerLetter"/>
      <w:start w:val="1"/>
    </w:lvl>
    <w:lvl w:ilvl="1">
      <w:lvlJc w:val="left"/>
      <w:lvlText w:val="(%2)"/>
      <w:numFmt w:val="lowerRoman"/>
      <w:start w:val="1"/>
    </w:lvl>
  </w:abstractNum>
  <w:abstractNum w:abstractNumId="76">
    <w:nsid w:val="488AC1A"/>
    <w:multiLevelType w:val="hybridMultilevel"/>
    <w:lvl w:ilvl="0">
      <w:lvlJc w:val="left"/>
      <w:lvlText w:val="(%1)"/>
      <w:numFmt w:val="lowerRoman"/>
      <w:start w:val="3"/>
    </w:lvl>
  </w:abstractNum>
  <w:abstractNum w:abstractNumId="77">
    <w:nsid w:val="5FB8011C"/>
    <w:multiLevelType w:val="hybridMultilevel"/>
    <w:lvl w:ilvl="0">
      <w:lvlJc w:val="left"/>
      <w:lvlText w:val="(%1)"/>
      <w:numFmt w:val="lowerLetter"/>
      <w:start w:val="1"/>
    </w:lvl>
  </w:abstractNum>
  <w:abstractNum w:abstractNumId="78">
    <w:nsid w:val="6AA78F7F"/>
    <w:multiLevelType w:val="hybridMultilevel"/>
    <w:lvl w:ilvl="0">
      <w:lvlJc w:val="left"/>
      <w:lvlText w:val="%1."/>
      <w:numFmt w:val="decimal"/>
      <w:start w:val="5"/>
    </w:lvl>
  </w:abstractNum>
  <w:abstractNum w:abstractNumId="79">
    <w:nsid w:val="7672BD23"/>
    <w:multiLevelType w:val="hybridMultilevel"/>
    <w:lvl w:ilvl="0">
      <w:lvlJc w:val="left"/>
      <w:lvlText w:val="%1"/>
      <w:numFmt w:val="lowerLetter"/>
      <w:start w:val="1"/>
    </w:lvl>
    <w:lvl w:ilvl="1">
      <w:lvlJc w:val="left"/>
      <w:lvlText w:val="%2."/>
      <w:numFmt w:val="decimal"/>
      <w:start w:val="6"/>
    </w:lvl>
  </w:abstractNum>
  <w:abstractNum w:abstractNumId="80">
    <w:nsid w:val="6FC75AF8"/>
    <w:multiLevelType w:val="hybridMultilevel"/>
    <w:lvl w:ilvl="0">
      <w:lvlJc w:val="left"/>
      <w:lvlText w:val="(%1)"/>
      <w:numFmt w:val="lowerLetter"/>
      <w:start w:val="2"/>
    </w:lvl>
    <w:lvl w:ilvl="1">
      <w:lvlJc w:val="left"/>
      <w:lvlText w:val="%2"/>
      <w:numFmt w:val="decimal"/>
      <w:start w:val="1"/>
    </w:lvl>
  </w:abstractNum>
  <w:abstractNum w:abstractNumId="81">
    <w:nsid w:val="6A5F7029"/>
    <w:multiLevelType w:val="hybridMultilevel"/>
    <w:lvl w:ilvl="0">
      <w:lvlJc w:val="left"/>
      <w:lvlText w:val="%1."/>
      <w:numFmt w:val="decimal"/>
      <w:start w:val="7"/>
    </w:lvl>
  </w:abstractNum>
  <w:abstractNum w:abstractNumId="82">
    <w:nsid w:val="7D5E18F8"/>
    <w:multiLevelType w:val="hybridMultilevel"/>
    <w:lvl w:ilvl="0">
      <w:lvlJc w:val="left"/>
      <w:lvlText w:val="(%1)"/>
      <w:numFmt w:val="lowerLetter"/>
      <w:start w:val="1"/>
    </w:lvl>
  </w:abstractNum>
  <w:abstractNum w:abstractNumId="83">
    <w:nsid w:val="5F3534A4"/>
    <w:multiLevelType w:val="hybridMultilevel"/>
    <w:lvl w:ilvl="0">
      <w:lvlJc w:val="left"/>
      <w:lvlText w:val="%1."/>
      <w:numFmt w:val="decimal"/>
      <w:start w:val="8"/>
    </w:lvl>
  </w:abstractNum>
  <w:abstractNum w:abstractNumId="84">
    <w:nsid w:val="73A1821B"/>
    <w:multiLevelType w:val="hybridMultilevel"/>
    <w:lvl w:ilvl="0">
      <w:lvlJc w:val="left"/>
      <w:lvlText w:val="%1."/>
      <w:numFmt w:val="decimal"/>
      <w:start w:val="9"/>
    </w:lvl>
  </w:abstractNum>
  <w:abstractNum w:abstractNumId="85">
    <w:nsid w:val="7DE67713"/>
    <w:multiLevelType w:val="hybridMultilevel"/>
    <w:lvl w:ilvl="0">
      <w:lvlJc w:val="left"/>
      <w:lvlText w:val="%1."/>
      <w:numFmt w:val="decimal"/>
      <w:start w:val="10"/>
    </w:lvl>
  </w:abstractNum>
  <w:abstractNum w:abstractNumId="86">
    <w:nsid w:val="555C55B5"/>
    <w:multiLevelType w:val="hybridMultilevel"/>
    <w:lvl w:ilvl="0">
      <w:lvlJc w:val="left"/>
      <w:lvlText w:val="%1."/>
      <w:numFmt w:val="decimal"/>
      <w:start w:val="11"/>
    </w:lvl>
  </w:abstractNum>
  <w:abstractNum w:abstractNumId="87">
    <w:nsid w:val="3FA62ACA"/>
    <w:multiLevelType w:val="hybridMultilevel"/>
    <w:lvl w:ilvl="0">
      <w:lvlJc w:val="left"/>
      <w:lvlText w:val="%1."/>
      <w:numFmt w:val="decimal"/>
      <w:start w:val="12"/>
    </w:lvl>
  </w:abstractNum>
  <w:abstractNum w:abstractNumId="88">
    <w:nsid w:val="14FCE74E"/>
    <w:multiLevelType w:val="hybridMultilevel"/>
    <w:lvl w:ilvl="0">
      <w:lvlJc w:val="left"/>
      <w:lvlText w:val="%1."/>
      <w:numFmt w:val="decimal"/>
      <w:start w:val="13"/>
    </w:lvl>
  </w:abstractNum>
  <w:abstractNum w:abstractNumId="89">
    <w:nsid w:val="6A3DD3E8"/>
    <w:multiLevelType w:val="hybridMultilevel"/>
    <w:lvl w:ilvl="0">
      <w:lvlJc w:val="left"/>
      <w:lvlText w:val="(%1)"/>
      <w:numFmt w:val="lowerLetter"/>
      <w:start w:val="1"/>
    </w:lvl>
  </w:abstractNum>
  <w:abstractNum w:abstractNumId="90">
    <w:nsid w:val="71C91298"/>
    <w:multiLevelType w:val="hybridMultilevel"/>
    <w:lvl w:ilvl="0">
      <w:lvlJc w:val="left"/>
      <w:lvlText w:val="(%1)"/>
      <w:numFmt w:val="lowerLetter"/>
      <w:start w:val="2"/>
    </w:lvl>
  </w:abstractNum>
  <w:abstractNum w:abstractNumId="91">
    <w:nsid w:val="9DAF632"/>
    <w:multiLevelType w:val="hybridMultilevel"/>
    <w:lvl w:ilvl="0">
      <w:lvlJc w:val="left"/>
      <w:lvlText w:val="%1."/>
      <w:numFmt w:val="decimal"/>
      <w:start w:val="1"/>
    </w:lvl>
  </w:abstractNum>
  <w:abstractNum w:abstractNumId="92">
    <w:nsid w:val="53299938"/>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93">
    <w:nsid w:val="1FBFE8E0"/>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94">
    <w:nsid w:val="5092CA79"/>
    <w:multiLevelType w:val="hybridMultilevel"/>
    <w:lvl w:ilvl="0">
      <w:lvlJc w:val="left"/>
      <w:lvlText w:val="(%1)"/>
      <w:numFmt w:val="lowerLetter"/>
      <w:start w:val="2"/>
    </w:lvl>
  </w:abstractNum>
  <w:abstractNum w:abstractNumId="95">
    <w:nsid w:val="1D545C4D"/>
    <w:multiLevelType w:val="hybridMultilevel"/>
    <w:lvl w:ilvl="0">
      <w:lvlJc w:val="left"/>
      <w:lvlText w:val="%1."/>
      <w:numFmt w:val="decimal"/>
      <w:start w:val="3"/>
    </w:lvl>
  </w:abstractNum>
  <w:abstractNum w:abstractNumId="96">
    <w:nsid w:val="59ADEA3D"/>
    <w:multiLevelType w:val="hybridMultilevel"/>
    <w:lvl w:ilvl="0">
      <w:lvlJc w:val="left"/>
      <w:lvlText w:val="%1."/>
      <w:numFmt w:val="decimal"/>
      <w:start w:val="4"/>
    </w:lvl>
  </w:abstractNum>
  <w:abstractNum w:abstractNumId="97">
    <w:nsid w:val="288F1A34"/>
    <w:multiLevelType w:val="hybridMultilevel"/>
    <w:lvl w:ilvl="0">
      <w:lvlJc w:val="left"/>
      <w:lvlText w:val="(%1)"/>
      <w:numFmt w:val="lowerLetter"/>
      <w:start w:val="1"/>
    </w:lvl>
    <w:lvl w:ilvl="1">
      <w:lvlJc w:val="left"/>
      <w:lvlText w:val="(%2)"/>
      <w:numFmt w:val="lowerRoman"/>
      <w:start w:val="1"/>
    </w:lvl>
  </w:abstractNum>
  <w:abstractNum w:abstractNumId="98">
    <w:nsid w:val="2A155DBC"/>
    <w:multiLevelType w:val="hybridMultilevel"/>
    <w:lvl w:ilvl="0">
      <w:lvlJc w:val="left"/>
      <w:lvlText w:val="(%1)"/>
      <w:numFmt w:val="lowerRoman"/>
      <w:start w:val="3"/>
    </w:lvl>
  </w:abstractNum>
  <w:abstractNum w:abstractNumId="99">
    <w:nsid w:val="1D9F6E5F"/>
    <w:multiLevelType w:val="hybridMultilevel"/>
    <w:lvl w:ilvl="0">
      <w:lvlJc w:val="left"/>
      <w:lvlText w:val="(%1)"/>
      <w:numFmt w:val="lowerLetter"/>
      <w:start w:val="1"/>
    </w:lvl>
  </w:abstractNum>
  <w:abstractNum w:abstractNumId="100">
    <w:nsid w:val="97E1B4E"/>
    <w:multiLevelType w:val="hybridMultilevel"/>
    <w:lvl w:ilvl="0">
      <w:lvlJc w:val="left"/>
      <w:lvlText w:val="%1."/>
      <w:numFmt w:val="decimal"/>
      <w:start w:val="5"/>
    </w:lvl>
  </w:abstractNum>
  <w:abstractNum w:abstractNumId="101">
    <w:nsid w:val="51088277"/>
    <w:multiLevelType w:val="hybridMultilevel"/>
    <w:lvl w:ilvl="0">
      <w:lvlJc w:val="left"/>
      <w:lvlText w:val="%1"/>
      <w:numFmt w:val="lowerLetter"/>
      <w:start w:val="1"/>
    </w:lvl>
    <w:lvl w:ilvl="1">
      <w:lvlJc w:val="left"/>
      <w:lvlText w:val="%2."/>
      <w:numFmt w:val="decimal"/>
      <w:start w:val="6"/>
    </w:lvl>
  </w:abstractNum>
  <w:abstractNum w:abstractNumId="102">
    <w:nsid w:val="1CA0C5FA"/>
    <w:multiLevelType w:val="hybridMultilevel"/>
    <w:lvl w:ilvl="0">
      <w:lvlJc w:val="left"/>
      <w:lvlText w:val="(%1)"/>
      <w:numFmt w:val="lowerLetter"/>
      <w:start w:val="2"/>
    </w:lvl>
    <w:lvl w:ilvl="1">
      <w:lvlJc w:val="left"/>
      <w:lvlText w:val="%2"/>
      <w:numFmt w:val="decimal"/>
      <w:start w:val="1"/>
    </w:lvl>
  </w:abstractNum>
  <w:abstractNum w:abstractNumId="103">
    <w:nsid w:val="53584BCB"/>
    <w:multiLevelType w:val="hybridMultilevel"/>
    <w:lvl w:ilvl="0">
      <w:lvlJc w:val="left"/>
      <w:lvlText w:val="%1."/>
      <w:numFmt w:val="decimal"/>
      <w:start w:val="7"/>
    </w:lvl>
  </w:abstractNum>
  <w:abstractNum w:abstractNumId="104">
    <w:nsid w:val="415E286C"/>
    <w:multiLevelType w:val="hybridMultilevel"/>
    <w:lvl w:ilvl="0">
      <w:lvlJc w:val="left"/>
      <w:lvlText w:val="(%1)"/>
      <w:numFmt w:val="lowerLetter"/>
      <w:start w:val="1"/>
    </w:lvl>
  </w:abstractNum>
  <w:abstractNum w:abstractNumId="105">
    <w:nsid w:val="7C58FD05"/>
    <w:multiLevelType w:val="hybridMultilevel"/>
    <w:lvl w:ilvl="0">
      <w:lvlJc w:val="left"/>
      <w:lvlText w:val="%1."/>
      <w:numFmt w:val="decimal"/>
      <w:start w:val="8"/>
    </w:lvl>
  </w:abstractNum>
  <w:abstractNum w:abstractNumId="106">
    <w:nsid w:val="23D86AAC"/>
    <w:multiLevelType w:val="hybridMultilevel"/>
    <w:lvl w:ilvl="0">
      <w:lvlJc w:val="left"/>
      <w:lvlText w:val="%1."/>
      <w:numFmt w:val="decimal"/>
      <w:start w:val="9"/>
    </w:lvl>
  </w:abstractNum>
  <w:abstractNum w:abstractNumId="107">
    <w:nsid w:val="45E6D486"/>
    <w:multiLevelType w:val="hybridMultilevel"/>
    <w:lvl w:ilvl="0">
      <w:lvlJc w:val="left"/>
      <w:lvlText w:val="%1."/>
      <w:numFmt w:val="decimal"/>
      <w:start w:val="10"/>
    </w:lvl>
  </w:abstractNum>
  <w:abstractNum w:abstractNumId="108">
    <w:nsid w:val="5C10FE21"/>
    <w:multiLevelType w:val="hybridMultilevel"/>
    <w:lvl w:ilvl="0">
      <w:lvlJc w:val="left"/>
      <w:lvlText w:val="%1."/>
      <w:numFmt w:val="decimal"/>
      <w:start w:val="11"/>
    </w:lvl>
  </w:abstractNum>
  <w:abstractNum w:abstractNumId="109">
    <w:nsid w:val="E7FFA2B"/>
    <w:multiLevelType w:val="hybridMultilevel"/>
    <w:lvl w:ilvl="0">
      <w:lvlJc w:val="left"/>
      <w:lvlText w:val="%1."/>
      <w:numFmt w:val="decimal"/>
      <w:start w:val="12"/>
    </w:lvl>
  </w:abstractNum>
  <w:abstractNum w:abstractNumId="110">
    <w:nsid w:val="3C5991AA"/>
    <w:multiLevelType w:val="hybridMultilevel"/>
    <w:lvl w:ilvl="0">
      <w:lvlJc w:val="left"/>
      <w:lvlText w:val="%1."/>
      <w:numFmt w:val="decimal"/>
      <w:start w:val="13"/>
    </w:lvl>
  </w:abstractNum>
  <w:abstractNum w:abstractNumId="111">
    <w:nsid w:val="4BD8591A"/>
    <w:multiLevelType w:val="hybridMultilevel"/>
    <w:lvl w:ilvl="0">
      <w:lvlJc w:val="left"/>
      <w:lvlText w:val="(%1)"/>
      <w:numFmt w:val="lowerLetter"/>
      <w:start w:val="1"/>
    </w:lvl>
  </w:abstractNum>
  <w:abstractNum w:abstractNumId="112">
    <w:nsid w:val="78DF6A55"/>
    <w:multiLevelType w:val="hybridMultilevel"/>
    <w:lvl w:ilvl="0">
      <w:lvlJc w:val="left"/>
      <w:lvlText w:val="(%1)"/>
      <w:numFmt w:val="lowerLetter"/>
      <w:start w:val="2"/>
    </w:lvl>
  </w:abstractNum>
  <w:abstractNum w:abstractNumId="113">
    <w:nsid w:val="39B7AAA2"/>
    <w:multiLevelType w:val="hybridMultilevel"/>
    <w:lvl w:ilvl="0">
      <w:lvlJc w:val="left"/>
      <w:lvlText w:val="(%1)"/>
      <w:numFmt w:val="lowerLetter"/>
      <w:start w:val="4"/>
    </w:lvl>
  </w:abstractNum>
  <w:abstractNum w:abstractNumId="114">
    <w:nsid w:val="2B0D8DBE"/>
    <w:multiLevelType w:val="hybridMultilevel"/>
    <w:lvl w:ilvl="0">
      <w:lvlJc w:val="left"/>
      <w:lvlText w:val="%1."/>
      <w:numFmt w:val="decimal"/>
      <w:start w:val="1"/>
    </w:lvl>
    <w:lvl w:ilvl="1">
      <w:lvlJc w:val="left"/>
      <w:lvlText w:val="%2."/>
      <w:numFmt w:val="lowerLetter"/>
      <w:start w:val="1"/>
    </w:lvl>
  </w:abstractNum>
  <w:abstractNum w:abstractNumId="115">
    <w:nsid w:val="6C80EC70"/>
    <w:multiLevelType w:val="hybridMultilevel"/>
    <w:lvl w:ilvl="0">
      <w:lvlJc w:val="left"/>
      <w:lvlText w:val="%1."/>
      <w:numFmt w:val="decimal"/>
      <w:start w:val="1"/>
    </w:lvl>
    <w:lvl w:ilvl="1">
      <w:lvlJc w:val="left"/>
      <w:lvlText w:val="%2."/>
      <w:numFmt w:val="lowerLetter"/>
      <w:start w:val="1"/>
    </w:lvl>
  </w:abstractNum>
  <w:abstractNum w:abstractNumId="116">
    <w:nsid w:val="379E21B5"/>
    <w:multiLevelType w:val="hybridMultilevel"/>
    <w:lvl w:ilvl="0">
      <w:lvlJc w:val="left"/>
      <w:lvlText w:val="(%1)"/>
      <w:numFmt w:val="decimal"/>
      <w:start w:val="1"/>
    </w:lvl>
  </w:abstractNum>
  <w:abstractNum w:abstractNumId="117">
    <w:nsid w:val="69E3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2025-08-13T16:30:09Z</dcterms:created>
  <dcterms:modified xsi:type="dcterms:W3CDTF">2025-08-13T16:30:09Z</dcterms:modified>
</cp:coreProperties>
</file>