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6172d3_s8.htm"/>
      <w:bookmarkStart w:id="1" w:name="kstm2616172d3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August 17,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Binah Capital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sz w:val="20"/>
              </w:rPr>
            </w:pPr>
            <w:r>
              <w:rPr>
                <w:b/>
                <w:sz w:val="20"/>
              </w:rPr>
              <w:t>88-3276689</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Binah Capital Group, Inc. 2024 Equity Incentive Plan, as amended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Craig Gould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 State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Albany, NY 12207</w:t>
        <w:br/>
        <w:t>(212) 404-7002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Copy to: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Gerry Williams</w:t>
        <w:br/>
        <w:t>Penny J. Minna</w:t>
        <w:br/>
        <w:t>DLA Piper LLP (US)</w:t>
        <w:br/>
        <w:t>One Atlantic Center</w:t>
        <w:br/>
        <w:t>1201 West Peachtree Street, Suite 2900</w:t>
        <w:br/>
        <w:t>Atlanta, GA 30309</w:t>
        <w:br/>
        <w:t>(404) 736-7891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is being filed by Binah Capital Group,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the “</w:t>
      </w:r>
      <w:r>
        <w:rPr>
          <w:rFonts w:ascii="Times New Roman;Times;Serif" w:hAnsi="Times New Roman;Times;Serif"/>
          <w:b w:val="false"/>
          <w:i/>
          <w:caps w:val="false"/>
          <w:smallCaps w:val="false"/>
          <w:sz w:val="20"/>
        </w:rPr>
        <w:t>Registrant</w:t>
      </w:r>
      <w:r>
        <w:rPr>
          <w:rFonts w:ascii="Times New Roman;Times;Serif" w:hAnsi="Times New Roman;Times;Serif"/>
          <w:b w:val="false"/>
          <w:i w:val="false"/>
          <w:caps w:val="false"/>
          <w:smallCaps w:val="false"/>
          <w:sz w:val="20"/>
        </w:rPr>
        <w:t>”) for the purpose of registering an additional 2,650,000 shares of the Company’s common stock, par value of $0.0001 per share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issuable under the Binah Capital Group, Inc. 2024 Equity Incentive Plan, as amended (the “</w:t>
      </w:r>
      <w:r>
        <w:rPr>
          <w:rFonts w:ascii="Times New Roman;Times;Serif" w:hAnsi="Times New Roman;Times;Serif"/>
          <w:b w:val="false"/>
          <w:i/>
          <w:caps w:val="false"/>
          <w:smallCaps w:val="false"/>
          <w:sz w:val="20"/>
        </w:rPr>
        <w:t>2024 Plan</w:t>
      </w:r>
      <w:r>
        <w:rPr>
          <w:rFonts w:ascii="Times New Roman;Times;Serif" w:hAnsi="Times New Roman;Times;Serif"/>
          <w:b w:val="false"/>
          <w:i w:val="false"/>
          <w:caps w:val="false"/>
          <w:smallCaps w:val="false"/>
          <w:sz w:val="20"/>
        </w:rPr>
        <w:t>”). The additional shares registered hereby were approved by the Company’s stockholders at the Annual Meeting of Stockholders held on June 12, 2026, pursuant to Amendment No. 1 to the 2024 Plan, which increased the aggregate number of shares of Common Stock authorized for issuance under the 2024 Plan by 2,650,000 shares, to an aggregate of 4,729,671 shares of Common Stock. The Company previously registered 336,000 shares of Common Stock, par value of $0.0001 per share, issuable under the 2024 Plan on a Registration Statement on Form S-8 (File No. 333-294848) filed with the Commission on April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20"/>
        <w:gridCol w:w="1700"/>
      </w:tblGrid>
      <w:tr>
        <w:trPr/>
        <w:tc>
          <w:tcPr>
            <w:tcW w:w="620" w:type="dxa"/>
            <w:tcBorders/>
            <w:vAlign w:val="center"/>
          </w:tcPr>
          <w:p>
            <w:pPr>
              <w:pStyle w:val="TableContents"/>
              <w:bidi w:val="0"/>
              <w:spacing w:before="0" w:after="283"/>
              <w:jc w:val="left"/>
              <w:rPr>
                <w:b/>
                <w:sz w:val="20"/>
              </w:rPr>
            </w:pPr>
            <w:r>
              <w:rPr>
                <w:b/>
                <w:sz w:val="20"/>
              </w:rPr>
              <w:t>Item 1.</w:t>
            </w:r>
          </w:p>
        </w:tc>
        <w:tc>
          <w:tcPr>
            <w:tcW w:w="1700" w:type="dxa"/>
            <w:tcBorders/>
            <w:vAlign w:val="center"/>
          </w:tcPr>
          <w:p>
            <w:pPr>
              <w:pStyle w:val="TableContents"/>
              <w:bidi w:val="0"/>
              <w:spacing w:before="0" w:after="283"/>
              <w:jc w:val="left"/>
              <w:rPr>
                <w:b/>
                <w:sz w:val="20"/>
              </w:rPr>
            </w:pPr>
            <w:r>
              <w:rPr>
                <w:b/>
                <w:sz w:val="20"/>
              </w:rPr>
              <w:t xml:space="preserve">Plan Information.* </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620"/>
        <w:gridCol w:w="5630"/>
      </w:tblGrid>
      <w:tr>
        <w:trPr/>
        <w:tc>
          <w:tcPr>
            <w:tcW w:w="620" w:type="dxa"/>
            <w:tcBorders/>
            <w:vAlign w:val="center"/>
          </w:tcPr>
          <w:p>
            <w:pPr>
              <w:pStyle w:val="TableContents"/>
              <w:bidi w:val="0"/>
              <w:spacing w:before="0" w:after="283"/>
              <w:jc w:val="left"/>
              <w:rPr>
                <w:b/>
                <w:sz w:val="20"/>
              </w:rPr>
            </w:pPr>
            <w:r>
              <w:rPr>
                <w:b/>
                <w:sz w:val="20"/>
              </w:rPr>
              <w:t>Item 2.</w:t>
            </w:r>
          </w:p>
        </w:tc>
        <w:tc>
          <w:tcPr>
            <w:tcW w:w="5630" w:type="dxa"/>
            <w:tcBorders/>
            <w:vAlign w:val="center"/>
          </w:tcPr>
          <w:p>
            <w:pPr>
              <w:pStyle w:val="TableContents"/>
              <w:bidi w:val="0"/>
              <w:spacing w:before="0" w:after="283"/>
              <w:jc w:val="left"/>
              <w:rPr>
                <w:b/>
                <w:sz w:val="20"/>
              </w:rPr>
            </w:pPr>
            <w:r>
              <w:rPr>
                <w:b/>
                <w:sz w:val="20"/>
              </w:rPr>
              <w:t xml:space="preserve">Registrant Information and Employee Plan Annual Information.*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left"/>
              <w:rPr>
                <w:sz w:val="20"/>
              </w:rPr>
            </w:pPr>
            <w:r>
              <w:rPr>
                <w:sz w:val="20"/>
              </w:rPr>
              <w:t>The documents containing the information specified in Part I will be delivered in accordance with Rule 428(b)(1) under the Securities Act. Such documents are not required to be, and are not, filed with the Securities and Exchange Commission (the “</w:t>
            </w:r>
            <w:r>
              <w:rPr>
                <w:i/>
                <w:sz w:val="20"/>
              </w:rPr>
              <w:t>Commission</w:t>
            </w:r>
            <w:r>
              <w:rPr>
                <w:sz w:val="20"/>
              </w:rPr>
              <w:t xml:space="preserve">”),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b/>
                <w:sz w:val="20"/>
              </w:rPr>
            </w:pPr>
            <w:r>
              <w:rPr>
                <w:b/>
                <w:sz w:val="20"/>
              </w:rPr>
              <w:t>Item 3.</w:t>
            </w:r>
          </w:p>
        </w:tc>
        <w:tc>
          <w:tcPr>
            <w:tcW w:w="3650" w:type="dxa"/>
            <w:tcBorders/>
            <w:vAlign w:val="center"/>
          </w:tcPr>
          <w:p>
            <w:pPr>
              <w:pStyle w:val="TableContents"/>
              <w:bidi w:val="0"/>
              <w:spacing w:before="0" w:after="283"/>
              <w:jc w:val="left"/>
              <w:rPr>
                <w:b/>
                <w:sz w:val="20"/>
              </w:rPr>
            </w:pPr>
            <w:r>
              <w:rPr>
                <w:b/>
                <w:sz w:val="20"/>
              </w:rPr>
              <w:t xml:space="preserve">Incorporation of Documents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by the Company with the Commission under the Securities and Exchange Act of 1934, as amended (the “</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sz w:val="20"/>
              </w:rPr>
              <w:t xml:space="preserve">The Company’s Annual Report on </w:t>
            </w:r>
            <w:hyperlink r:id="rId2">
              <w:r>
                <w:rPr>
                  <w:rStyle w:val="InternetLink"/>
                  <w:sz w:val="20"/>
                </w:rPr>
                <w:t>Form 10-K for the fiscal year ended December 31, 2025</w:t>
              </w:r>
            </w:hyperlink>
            <w:r>
              <w:rPr>
                <w:sz w:val="20"/>
              </w:rPr>
              <w:t>, filed with the Commission, which contains the Registrant’s audited financial statements for the fiscal years ended December 31, 2025 and 2024;</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information specifically incorporated by reference into our Annual Report on Form 10-K for the fiscal year ended December  31, 2025 from our </w:t>
            </w:r>
            <w:hyperlink r:id="rId3">
              <w:r>
                <w:rPr>
                  <w:rStyle w:val="InternetLink"/>
                </w:rPr>
                <w:t>Definitive Proxy Statement on Schedule 14A, filed with the SEC on April 30, 2026</w:t>
              </w:r>
            </w:hyperlink>
            <w:r>
              <w:rPr/>
              <w: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 xml:space="preserve">The Quarterly Reports on Form 10-Q for the fiscal quarters ended </w:t>
            </w:r>
            <w:hyperlink r:id="rId4">
              <w:r>
                <w:rPr>
                  <w:rStyle w:val="InternetLink"/>
                </w:rPr>
                <w:t>March 31, 2026</w:t>
              </w:r>
            </w:hyperlink>
            <w:r>
              <w:rPr/>
              <w:t xml:space="preserve"> and </w:t>
            </w:r>
            <w:hyperlink r:id="rId5">
              <w:r>
                <w:rPr>
                  <w:rStyle w:val="InternetLink"/>
                </w:rPr>
                <w:t>June 30, 2026</w:t>
              </w:r>
            </w:hyperlink>
            <w:r>
              <w:rPr/>
              <w:t>, filed with the SEC on May 15, 2026 and August 13, 2026, respectively;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All other reports filed by the Registrant pursuant to Section 13(a) or 15(d) of the Exchange Act, since the end of the fiscal year covered by the document referred to in (1) above;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hyperlink r:id="rId6">
              <w:r>
                <w:rPr>
                  <w:rStyle w:val="InternetLink"/>
                  <w:sz w:val="20"/>
                </w:rPr>
                <w:t>The description of our capital stock contained in Exhibit 4.5</w:t>
              </w:r>
            </w:hyperlink>
            <w:r>
              <w:rPr>
                <w:sz w:val="20"/>
              </w:rPr>
              <w:t> to our Annual Report on Form 10-K for the fiscal year ended December 31, 2025, filed with the SEC on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20"/>
        <w:gridCol w:w="2180"/>
      </w:tblGrid>
      <w:tr>
        <w:trPr/>
        <w:tc>
          <w:tcPr>
            <w:tcW w:w="620" w:type="dxa"/>
            <w:tcBorders/>
            <w:vAlign w:val="center"/>
          </w:tcPr>
          <w:p>
            <w:pPr>
              <w:pStyle w:val="TableContents"/>
              <w:bidi w:val="0"/>
              <w:spacing w:before="0" w:after="283"/>
              <w:jc w:val="left"/>
              <w:rPr>
                <w:b/>
                <w:sz w:val="20"/>
              </w:rPr>
            </w:pPr>
            <w:r>
              <w:rPr>
                <w:b/>
                <w:sz w:val="20"/>
              </w:rPr>
              <w:t>Item 4.</w:t>
            </w:r>
          </w:p>
        </w:tc>
        <w:tc>
          <w:tcPr>
            <w:tcW w:w="2180" w:type="dxa"/>
            <w:tcBorders/>
            <w:vAlign w:val="center"/>
          </w:tcPr>
          <w:p>
            <w:pPr>
              <w:pStyle w:val="TableContents"/>
              <w:bidi w:val="0"/>
              <w:spacing w:before="0" w:after="283"/>
              <w:jc w:val="left"/>
              <w:rPr>
                <w:b/>
                <w:sz w:val="20"/>
              </w:rPr>
            </w:pPr>
            <w:r>
              <w:rPr>
                <w:b/>
                <w:sz w:val="20"/>
              </w:rPr>
              <w:t xml:space="preserve">Description of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20"/>
        <w:gridCol w:w="3485"/>
      </w:tblGrid>
      <w:tr>
        <w:trPr/>
        <w:tc>
          <w:tcPr>
            <w:tcW w:w="620" w:type="dxa"/>
            <w:tcBorders/>
            <w:vAlign w:val="center"/>
          </w:tcPr>
          <w:p>
            <w:pPr>
              <w:pStyle w:val="TableContents"/>
              <w:bidi w:val="0"/>
              <w:spacing w:before="0" w:after="283"/>
              <w:jc w:val="left"/>
              <w:rPr>
                <w:b/>
                <w:sz w:val="20"/>
              </w:rPr>
            </w:pPr>
            <w:r>
              <w:rPr>
                <w:b/>
                <w:sz w:val="20"/>
              </w:rPr>
              <w:t>Item 5.</w:t>
            </w:r>
          </w:p>
        </w:tc>
        <w:tc>
          <w:tcPr>
            <w:tcW w:w="3485" w:type="dxa"/>
            <w:tcBorders/>
            <w:vAlign w:val="center"/>
          </w:tcPr>
          <w:p>
            <w:pPr>
              <w:pStyle w:val="TableContents"/>
              <w:bidi w:val="0"/>
              <w:spacing w:before="0" w:after="283"/>
              <w:jc w:val="left"/>
              <w:rPr>
                <w:b/>
                <w:sz w:val="20"/>
              </w:rPr>
            </w:pPr>
            <w:r>
              <w:rPr>
                <w:b/>
                <w:sz w:val="20"/>
              </w:rPr>
              <w:t xml:space="preserve">Interests of Named Experts and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20"/>
        <w:gridCol w:w="3605"/>
      </w:tblGrid>
      <w:tr>
        <w:trPr/>
        <w:tc>
          <w:tcPr>
            <w:tcW w:w="620" w:type="dxa"/>
            <w:tcBorders/>
            <w:vAlign w:val="center"/>
          </w:tcPr>
          <w:p>
            <w:pPr>
              <w:pStyle w:val="TableContents"/>
              <w:bidi w:val="0"/>
              <w:spacing w:before="0" w:after="283"/>
              <w:jc w:val="left"/>
              <w:rPr>
                <w:b/>
                <w:sz w:val="20"/>
              </w:rPr>
            </w:pPr>
            <w:r>
              <w:rPr>
                <w:b/>
                <w:sz w:val="20"/>
              </w:rPr>
              <w:t>Item 6.</w:t>
            </w:r>
          </w:p>
        </w:tc>
        <w:tc>
          <w:tcPr>
            <w:tcW w:w="3605" w:type="dxa"/>
            <w:tcBorders/>
            <w:vAlign w:val="center"/>
          </w:tcPr>
          <w:p>
            <w:pPr>
              <w:pStyle w:val="TableContents"/>
              <w:bidi w:val="0"/>
              <w:spacing w:before="0" w:after="283"/>
              <w:jc w:val="left"/>
              <w:rPr>
                <w:b/>
                <w:sz w:val="20"/>
              </w:rPr>
            </w:pPr>
            <w:r>
              <w:rPr>
                <w:b/>
                <w:sz w:val="20"/>
              </w:rPr>
              <w:t xml:space="preserve">Indemnification of Directors and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w:t>
      </w:r>
      <w:r>
        <w:rPr>
          <w:rFonts w:ascii="Times New Roman;Times;Serif" w:hAnsi="Times New Roman;Times;Serif"/>
          <w:b w:val="false"/>
          <w:i/>
          <w:caps w:val="false"/>
          <w:smallCaps w:val="false"/>
          <w:sz w:val="20"/>
        </w:rPr>
        <w:t>DGCL</w:t>
      </w:r>
      <w:r>
        <w:rPr>
          <w:rFonts w:ascii="Times New Roman;Times;Serif" w:hAnsi="Times New Roman;Times;Serif"/>
          <w:b w:val="false"/>
          <w:i w:val="false"/>
          <w:caps w:val="false"/>
          <w:smallCaps w:val="false"/>
          <w:sz w:val="20"/>
        </w:rPr>
        <w:t>”) provides that a corporation may indemnify any person, including an officer or director, who was or is,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best interests of such corporation, and, with respect to any criminal actions and proceedings, had no reasonable cause to believe that his or her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that such officer or director actually and reasonably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provided in Section 145 of the DGCL are not exclusive, and the corporation may also provide for indemnification under bylaw, agreement,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(the “</w:t>
      </w:r>
      <w:r>
        <w:rPr>
          <w:rFonts w:ascii="Times New Roman;Times;Serif" w:hAnsi="Times New Roman;Times;Serif"/>
          <w:b w:val="false"/>
          <w:i/>
          <w:caps w:val="false"/>
          <w:smallCaps w:val="false"/>
          <w:sz w:val="20"/>
        </w:rPr>
        <w:t>Charter</w:t>
      </w:r>
      <w:r>
        <w:rPr>
          <w:rFonts w:ascii="Times New Roman;Times;Serif" w:hAnsi="Times New Roman;Times;Serif"/>
          <w:b w:val="false"/>
          <w:i w:val="false"/>
          <w:caps w:val="false"/>
          <w:smallCaps w:val="false"/>
          <w:sz w:val="20"/>
        </w:rPr>
        <w:t>”) provides that the Company,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thereunder shall be paid by the Company in advance of the final disposition of such action, suit or proceeding upon receipt of an undertaking by or on behalf of such director or officer to repay such amount if it shall ultimately be determined that he or she is not entitled to be indemnified by the Company as authorized thereby.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for the indemnification of our directors, officers or other persons in accordance with our Charter.</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20"/>
        <w:gridCol w:w="3380"/>
      </w:tblGrid>
      <w:tr>
        <w:trPr/>
        <w:tc>
          <w:tcPr>
            <w:tcW w:w="620" w:type="dxa"/>
            <w:tcBorders/>
            <w:vAlign w:val="center"/>
          </w:tcPr>
          <w:p>
            <w:pPr>
              <w:pStyle w:val="TableContents"/>
              <w:bidi w:val="0"/>
              <w:spacing w:before="0" w:after="283"/>
              <w:jc w:val="left"/>
              <w:rPr>
                <w:b/>
                <w:sz w:val="20"/>
              </w:rPr>
            </w:pPr>
            <w:r>
              <w:rPr>
                <w:b/>
                <w:sz w:val="20"/>
              </w:rPr>
              <w:t>Item 7.</w:t>
            </w:r>
          </w:p>
        </w:tc>
        <w:tc>
          <w:tcPr>
            <w:tcW w:w="3380" w:type="dxa"/>
            <w:tcBorders/>
            <w:vAlign w:val="center"/>
          </w:tcPr>
          <w:p>
            <w:pPr>
              <w:pStyle w:val="TableContents"/>
              <w:bidi w:val="0"/>
              <w:spacing w:before="0" w:after="283"/>
              <w:jc w:val="left"/>
              <w:rPr>
                <w:b/>
                <w:sz w:val="20"/>
              </w:rPr>
            </w:pPr>
            <w:r>
              <w:rPr>
                <w:b/>
                <w:sz w:val="20"/>
              </w:rPr>
              <w:t xml:space="preserve">Exemption from Registration Claimed.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20"/>
        <w:gridCol w:w="785"/>
      </w:tblGrid>
      <w:tr>
        <w:trPr/>
        <w:tc>
          <w:tcPr>
            <w:tcW w:w="620" w:type="dxa"/>
            <w:tcBorders/>
            <w:vAlign w:val="center"/>
          </w:tcPr>
          <w:p>
            <w:pPr>
              <w:pStyle w:val="TableContents"/>
              <w:bidi w:val="0"/>
              <w:spacing w:before="0" w:after="283"/>
              <w:jc w:val="left"/>
              <w:rPr>
                <w:b/>
                <w:sz w:val="20"/>
              </w:rPr>
            </w:pPr>
            <w:r>
              <w:rPr>
                <w:b/>
                <w:sz w:val="20"/>
              </w:rPr>
              <w:t>Item 8.</w:t>
            </w:r>
          </w:p>
        </w:tc>
        <w:tc>
          <w:tcPr>
            <w:tcW w:w="785" w:type="dxa"/>
            <w:tcBorders/>
            <w:vAlign w:val="center"/>
          </w:tcPr>
          <w:p>
            <w:pPr>
              <w:pStyle w:val="TableContents"/>
              <w:bidi w:val="0"/>
              <w:spacing w:before="0" w:after="283"/>
              <w:jc w:val="left"/>
              <w:rPr>
                <w:b/>
                <w:sz w:val="20"/>
              </w:rPr>
            </w:pPr>
            <w:r>
              <w:rPr>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attached Exhibit Index, which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20"/>
        <w:gridCol w:w="1265"/>
      </w:tblGrid>
      <w:tr>
        <w:trPr/>
        <w:tc>
          <w:tcPr>
            <w:tcW w:w="620" w:type="dxa"/>
            <w:tcBorders/>
            <w:vAlign w:val="center"/>
          </w:tcPr>
          <w:p>
            <w:pPr>
              <w:pStyle w:val="TableContents"/>
              <w:bidi w:val="0"/>
              <w:spacing w:before="0" w:after="283"/>
              <w:jc w:val="left"/>
              <w:rPr>
                <w:b/>
                <w:sz w:val="20"/>
              </w:rPr>
            </w:pPr>
            <w:r>
              <w:rPr>
                <w:b/>
                <w:sz w:val="20"/>
              </w:rPr>
              <w:t>Item 9.</w:t>
            </w:r>
          </w:p>
        </w:tc>
        <w:tc>
          <w:tcPr>
            <w:tcW w:w="1265" w:type="dxa"/>
            <w:tcBorders/>
            <w:vAlign w:val="center"/>
          </w:tcPr>
          <w:p>
            <w:pPr>
              <w:pStyle w:val="TableContents"/>
              <w:bidi w:val="0"/>
              <w:spacing w:before="0" w:after="283"/>
              <w:jc w:val="left"/>
              <w:rPr>
                <w:b/>
                <w:sz w:val="20"/>
              </w:rPr>
            </w:pPr>
            <w:r>
              <w:rPr>
                <w:b/>
                <w:sz w:val="20"/>
              </w:rPr>
              <w:t xml:space="preserve">Undertakings. </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85"/>
        <w:gridCol w:w="3875"/>
      </w:tblGrid>
      <w:tr>
        <w:trPr/>
        <w:tc>
          <w:tcPr>
            <w:tcW w:w="185" w:type="dxa"/>
            <w:tcBorders/>
            <w:vAlign w:val="center"/>
          </w:tcPr>
          <w:p>
            <w:pPr>
              <w:pStyle w:val="TableContents"/>
              <w:bidi w:val="0"/>
              <w:spacing w:before="0" w:after="283"/>
              <w:jc w:val="left"/>
              <w:rPr>
                <w:sz w:val="20"/>
              </w:rPr>
            </w:pPr>
            <w:r>
              <w:rPr>
                <w:sz w:val="20"/>
              </w:rPr>
              <w:t>1.</w:t>
            </w:r>
          </w:p>
        </w:tc>
        <w:tc>
          <w:tcPr>
            <w:tcW w:w="3875" w:type="dxa"/>
            <w:tcBorders/>
            <w:vAlign w:val="center"/>
          </w:tcPr>
          <w:p>
            <w:pPr>
              <w:pStyle w:val="TableContents"/>
              <w:bidi w:val="0"/>
              <w:spacing w:before="0" w:after="283"/>
              <w:jc w:val="left"/>
              <w:rPr>
                <w:sz w:val="20"/>
              </w:rPr>
            </w:pPr>
            <w:r>
              <w:rPr>
                <w:sz w:val="20"/>
              </w:rPr>
              <w:t xml:space="preserve">The undersigned Company hereby undertakes: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20"/>
              </w:rPr>
            </w:pPr>
            <w:r>
              <w:rPr>
                <w:sz w:val="20"/>
              </w:rPr>
              <w:t>(a)</w:t>
            </w:r>
          </w:p>
        </w:tc>
        <w:tc>
          <w:tcPr>
            <w:tcW w:w="9902" w:type="dxa"/>
            <w:tcBorders/>
            <w:vAlign w:val="center"/>
          </w:tcPr>
          <w:p>
            <w:pPr>
              <w:pStyle w:val="TableContents"/>
              <w:bidi w:val="0"/>
              <w:spacing w:before="0" w:after="283"/>
              <w:jc w:val="left"/>
              <w:rPr>
                <w:sz w:val="20"/>
              </w:rPr>
            </w:pPr>
            <w:r>
              <w:rPr>
                <w:sz w:val="20"/>
              </w:rPr>
              <w:t xml:space="preserve">To file, during any period in which offers or sales are being made, a post-effective amendment to the Registration Statement: </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200"/>
        <w:gridCol w:w="62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(i)</w:t>
            </w:r>
          </w:p>
        </w:tc>
        <w:tc>
          <w:tcPr>
            <w:tcW w:w="6290" w:type="dxa"/>
            <w:tcBorders/>
            <w:vAlign w:val="center"/>
          </w:tcPr>
          <w:p>
            <w:pPr>
              <w:pStyle w:val="TableContents"/>
              <w:bidi w:val="0"/>
              <w:spacing w:before="0" w:after="283"/>
              <w:jc w:val="left"/>
              <w:rPr>
                <w:sz w:val="20"/>
              </w:rPr>
            </w:pPr>
            <w:r>
              <w:rPr>
                <w:sz w:val="20"/>
              </w:rPr>
              <w:t xml:space="preserve">To include any prospectus required by Section 10(a)(3) of the Securities Act;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20"/>
              </w:rPr>
            </w:pPr>
            <w:r>
              <w:rPr>
                <w:sz w:val="20"/>
              </w:rPr>
              <w:t>(ii)</w:t>
            </w:r>
          </w:p>
        </w:tc>
        <w:tc>
          <w:tcPr>
            <w:tcW w:w="9907" w:type="dxa"/>
            <w:tcBorders/>
            <w:vAlign w:val="center"/>
          </w:tcPr>
          <w:p>
            <w:pPr>
              <w:pStyle w:val="TableContents"/>
              <w:bidi w:val="0"/>
              <w:spacing w:before="0" w:after="283"/>
              <w:jc w:val="left"/>
              <w:rPr>
                <w:sz w:val="20"/>
              </w:rPr>
            </w:pPr>
            <w:r>
              <w:rPr>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sz w:val="20"/>
              </w:rPr>
            </w:pPr>
            <w:r>
              <w:rPr>
                <w:sz w:val="20"/>
              </w:rPr>
              <w:t>(iii)</w:t>
            </w:r>
          </w:p>
        </w:tc>
        <w:tc>
          <w:tcPr>
            <w:tcW w:w="9836" w:type="dxa"/>
            <w:tcBorders/>
            <w:vAlign w:val="center"/>
          </w:tcPr>
          <w:p>
            <w:pPr>
              <w:pStyle w:val="TableContents"/>
              <w:bidi w:val="0"/>
              <w:spacing w:before="0" w:after="283"/>
              <w:jc w:val="left"/>
              <w:rPr>
                <w:sz w:val="20"/>
              </w:rPr>
            </w:pPr>
            <w:r>
              <w:rPr>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paragraphs (i) and (ii)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(b)</w:t>
            </w:r>
          </w:p>
        </w:tc>
        <w:tc>
          <w:tcPr>
            <w:tcW w:w="9924" w:type="dxa"/>
            <w:tcBorders/>
            <w:vAlign w:val="center"/>
          </w:tcPr>
          <w:p>
            <w:pPr>
              <w:pStyle w:val="TableContents"/>
              <w:bidi w:val="0"/>
              <w:spacing w:before="0" w:after="283"/>
              <w:jc w:val="left"/>
              <w:rPr>
                <w:sz w:val="20"/>
              </w:rPr>
            </w:pPr>
            <w:r>
              <w:rPr>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20"/>
              </w:rPr>
            </w:pPr>
            <w:r>
              <w:rPr>
                <w:sz w:val="20"/>
              </w:rPr>
              <w:t>(c)</w:t>
            </w:r>
          </w:p>
        </w:tc>
        <w:tc>
          <w:tcPr>
            <w:tcW w:w="9917" w:type="dxa"/>
            <w:tcBorders/>
            <w:vAlign w:val="center"/>
          </w:tcPr>
          <w:p>
            <w:pPr>
              <w:pStyle w:val="TableContents"/>
              <w:bidi w:val="0"/>
              <w:spacing w:before="0" w:after="283"/>
              <w:jc w:val="left"/>
              <w:rPr>
                <w:sz w:val="20"/>
              </w:rPr>
            </w:pPr>
            <w:r>
              <w:rPr>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sz w:val="20"/>
              </w:rPr>
            </w:pPr>
            <w:r>
              <w:rPr>
                <w:sz w:val="20"/>
              </w:rPr>
              <w:t>2.</w:t>
            </w:r>
          </w:p>
        </w:tc>
        <w:tc>
          <w:tcPr>
            <w:tcW w:w="10055" w:type="dxa"/>
            <w:tcBorders/>
            <w:vAlign w:val="center"/>
          </w:tcPr>
          <w:p>
            <w:pPr>
              <w:pStyle w:val="TableContents"/>
              <w:bidi w:val="0"/>
              <w:spacing w:before="0" w:after="283"/>
              <w:jc w:val="left"/>
              <w:rPr>
                <w:sz w:val="20"/>
              </w:rPr>
            </w:pPr>
            <w:r>
              <w:rPr>
                <w:sz w:val="20"/>
              </w:rPr>
              <w:t xml:space="preserve">The undersigned Company hereby undertakes that, for purposes of determining any liability under the Securities Act, each filing of the Company’s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sz w:val="20"/>
              </w:rPr>
            </w:pPr>
            <w:r>
              <w:rPr>
                <w:sz w:val="20"/>
              </w:rPr>
              <w:t>3.</w:t>
            </w:r>
          </w:p>
        </w:tc>
        <w:tc>
          <w:tcPr>
            <w:tcW w:w="10061" w:type="dxa"/>
            <w:tcBorders/>
            <w:vAlign w:val="center"/>
          </w:tcPr>
          <w:p>
            <w:pPr>
              <w:pStyle w:val="TableContents"/>
              <w:bidi w:val="0"/>
              <w:spacing w:before="0" w:after="283"/>
              <w:jc w:val="left"/>
              <w:rPr>
                <w:sz w:val="20"/>
              </w:rPr>
            </w:pPr>
            <w:r>
              <w:rPr>
                <w:sz w:val="20"/>
              </w:rPr>
              <w:t>Insofar as indemnification for liabilities arising under the Securities Act may be permitted to directors, officers and controlling persons of the Company pursuant to the provisions set forth above,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3"/>
        <w:gridCol w:w="60"/>
        <w:gridCol w:w="9642"/>
      </w:tblGrid>
      <w:tr>
        <w:trPr/>
        <w:tc>
          <w:tcPr>
            <w:tcW w:w="503" w:type="dxa"/>
            <w:tcBorders/>
            <w:vAlign w:val="center"/>
          </w:tcPr>
          <w:p>
            <w:pPr>
              <w:pStyle w:val="TableContents"/>
              <w:bidi w:val="0"/>
              <w:spacing w:before="0" w:after="283"/>
              <w:jc w:val="left"/>
              <w:rPr/>
            </w:pPr>
            <w:hyperlink r:id="rId7">
              <w:r>
                <w:rPr>
                  <w:rStyle w:val="InternetLink"/>
                </w:rPr>
                <w:t>3.1</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r:id="rId8">
              <w:r>
                <w:rPr>
                  <w:rStyle w:val="InternetLink"/>
                </w:rPr>
                <w:t>Amended and Restated Certificate of Incorporation of Binah Capital Group, Inc. (incorporated by reference to Exhibit 3.1 to Binah Capital Group, Inc.’s Current Report on Form 8-K/A filed with the SEC on March 22, 2024).</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r:id="rId9">
              <w:r>
                <w:rPr>
                  <w:rStyle w:val="InternetLink"/>
                </w:rPr>
                <w:t>3.2</w:t>
              </w:r>
            </w:hyperlink>
          </w:p>
        </w:tc>
        <w:tc>
          <w:tcPr>
            <w:tcW w:w="60" w:type="dxa"/>
            <w:tcBorders/>
            <w:vAlign w:val="center"/>
          </w:tcPr>
          <w:p>
            <w:pPr>
              <w:pStyle w:val="TableContents"/>
              <w:bidi w:val="0"/>
              <w:spacing w:before="0" w:after="283"/>
              <w:jc w:val="left"/>
              <w:rPr>
                <w:sz w:val="4"/>
                <w:szCs w:val="4"/>
              </w:rPr>
            </w:pPr>
            <w:r>
              <w:rPr>
                <w:sz w:val="4"/>
                <w:szCs w:val="4"/>
              </w:rPr>
            </w:r>
          </w:p>
        </w:tc>
        <w:tc>
          <w:tcPr>
            <w:tcW w:w="9642" w:type="dxa"/>
            <w:tcBorders/>
            <w:vAlign w:val="center"/>
          </w:tcPr>
          <w:p>
            <w:pPr>
              <w:pStyle w:val="TableContents"/>
              <w:bidi w:val="0"/>
              <w:spacing w:before="0" w:after="283"/>
              <w:jc w:val="left"/>
              <w:rPr/>
            </w:pPr>
            <w:hyperlink r:id="rId10">
              <w:r>
                <w:rPr>
                  <w:rStyle w:val="InternetLink"/>
                </w:rPr>
                <w:t>Bylaws of Binah Capital Group, Inc. (incorporated by reference to Exhibit 3.2 to Binah Capital Group, Inc.’s Current Report on Form 8-K/A filed with the SEC on March 22, 2024).</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r:id="rId11">
              <w:r>
                <w:rPr>
                  <w:rStyle w:val="InternetLink"/>
                </w:rPr>
                <w:t>4.1</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r:id="rId12">
              <w:r>
                <w:rPr>
                  <w:rStyle w:val="InternetLink"/>
                </w:rPr>
                <w:t>Amended and Restated Certificate of Designations of the Series A Junior Convertible Preferred Stock (incorporated by reference to Exhibit 4.1 to Binah Capital Group, Inc.’s Form 8-K filed with the SEC on December 26, 2024).</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r:id="rId13">
              <w:r>
                <w:rPr>
                  <w:rStyle w:val="InternetLink"/>
                </w:rPr>
                <w:t>4.2</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r:id="rId14">
              <w:r>
                <w:rPr>
                  <w:rStyle w:val="InternetLink"/>
                </w:rPr>
                <w:t xml:space="preserve">Amended and Restated Certificate of Designations of the Series B Junior Convertible Preferred Stock (incorporated by reference to Exhibit 4.1 to Binah Capital Group, Inc.'s Current Report filed with the SEC on </w:t>
              </w:r>
            </w:hyperlink>
            <w:hyperlink r:id="rId15">
              <w:r>
                <w:rPr>
                  <w:rStyle w:val="InternetLink"/>
                  <w:u w:val="single"/>
                </w:rPr>
                <w:t>February 27, 2026</w:t>
              </w:r>
            </w:hyperlink>
            <w:hyperlink r:id="rId16">
              <w:r>
                <w:rPr>
                  <w:rStyle w:val="InternetLink"/>
                </w:rPr>
                <w:t>).</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w:anchor="tm2616172d3_ex5-1.htm">
              <w:r>
                <w:rPr>
                  <w:rStyle w:val="InternetLink"/>
                </w:rPr>
                <w:t>5.1*</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w:anchor="tm2616172d3_ex5-1.htm">
              <w:r>
                <w:rPr>
                  <w:rStyle w:val="InternetLink"/>
                </w:rPr>
                <w:t>Opinion of DLA Piper LLP (US).</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w:anchor="tm2616172d3_ex5-1.htm">
              <w:r>
                <w:rPr>
                  <w:rStyle w:val="InternetLink"/>
                </w:rPr>
                <w:t>23.1*</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w:anchor="tm2616172d3_ex5-1.htm">
              <w:r>
                <w:rPr>
                  <w:rStyle w:val="InternetLink"/>
                </w:rPr>
                <w:t>Consent of DLA Piper LLP (US) (contained in Exhibit 5.1).</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w:anchor="tm2616172d3_ex23-2.htm">
              <w:r>
                <w:rPr>
                  <w:rStyle w:val="InternetLink"/>
                </w:rPr>
                <w:t>23.2*</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w:anchor="tm2616172d3_ex23-2.htm">
              <w:r>
                <w:rPr>
                  <w:rStyle w:val="InternetLink"/>
                </w:rPr>
                <w:t>Consent of FGMK, LLC, independent registered public accounting firm for Binah Capital Group, Inc.</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w:anchor="s_001">
              <w:r>
                <w:rPr>
                  <w:rStyle w:val="InternetLink"/>
                </w:rPr>
                <w:t>24.1*</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w:anchor="s_001">
              <w:r>
                <w:rPr>
                  <w:rStyle w:val="InternetLink"/>
                </w:rPr>
                <w:t>Power of Attorney (included on signature page).</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r:id="rId17">
              <w:r>
                <w:rPr>
                  <w:rStyle w:val="InternetLink"/>
                </w:rPr>
                <w:t>99.1</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r:id="rId18">
              <w:r>
                <w:rPr>
                  <w:rStyle w:val="InternetLink"/>
                </w:rPr>
                <w:t>Binah Capital Group, Inc. 2024 Equity Incentive Plan (incorporated by reference to Binah Capital Group, Inc.’s Registration Statement on Form S-8 (Reg. No. 333-286609) filed with the SEC on April 17, 2025).</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r:id="rId19">
              <w:r>
                <w:rPr>
                  <w:rStyle w:val="InternetLink"/>
                </w:rPr>
                <w:t>99.2</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r:id="rId20">
              <w:r>
                <w:rPr>
                  <w:rStyle w:val="InternetLink"/>
                </w:rPr>
                <w:t>Amendment No. 2 to the Binah Capital Group, Inc. 2024 Equity Incentive Plan (incorporated by reference to Exhibit 10.1 to the Quarterly Report on Form 10-Q filed with the Commission on August 13, 2026)</w:t>
              </w:r>
            </w:hyperlink>
          </w:p>
        </w:tc>
      </w:tr>
      <w:tr>
        <w:trPr/>
        <w:tc>
          <w:tcPr>
            <w:tcW w:w="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r>
              <w:rPr/>
              <w:t> </w:t>
            </w:r>
          </w:p>
        </w:tc>
      </w:tr>
      <w:tr>
        <w:trPr/>
        <w:tc>
          <w:tcPr>
            <w:tcW w:w="503" w:type="dxa"/>
            <w:tcBorders/>
            <w:vAlign w:val="center"/>
          </w:tcPr>
          <w:p>
            <w:pPr>
              <w:pStyle w:val="TableContents"/>
              <w:bidi w:val="0"/>
              <w:spacing w:before="0" w:after="283"/>
              <w:jc w:val="left"/>
              <w:rPr/>
            </w:pPr>
            <w:hyperlink w:anchor="tm2616172d3_ex-filingfees.htm">
              <w:r>
                <w:rPr>
                  <w:rStyle w:val="InternetLink"/>
                </w:rPr>
                <w:t>107*</w:t>
              </w:r>
            </w:hyperlink>
          </w:p>
        </w:tc>
        <w:tc>
          <w:tcPr>
            <w:tcW w:w="60" w:type="dxa"/>
            <w:tcBorders/>
            <w:vAlign w:val="center"/>
          </w:tcPr>
          <w:p>
            <w:pPr>
              <w:pStyle w:val="TableContents"/>
              <w:bidi w:val="0"/>
              <w:spacing w:before="0" w:after="283"/>
              <w:jc w:val="left"/>
              <w:rPr/>
            </w:pPr>
            <w:r>
              <w:rPr/>
              <w:t> </w:t>
            </w:r>
          </w:p>
        </w:tc>
        <w:tc>
          <w:tcPr>
            <w:tcW w:w="9642" w:type="dxa"/>
            <w:tcBorders/>
            <w:vAlign w:val="center"/>
          </w:tcPr>
          <w:p>
            <w:pPr>
              <w:pStyle w:val="TableContents"/>
              <w:bidi w:val="0"/>
              <w:spacing w:before="0" w:after="283"/>
              <w:jc w:val="left"/>
              <w:rPr/>
            </w:pPr>
            <w:hyperlink w:anchor="tm2616172d3_ex-filingfees.htm">
              <w:r>
                <w:rPr>
                  <w:rStyle w:val="InternetLink"/>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Pursuant to the requirements of the Securities Exchange Act of 1934, the Registrant has duly caused this report to be signed on its behalf by the undersigned hereunto duly authorized,</w:t>
      </w:r>
      <w:r>
        <w:rPr>
          <w:rFonts w:ascii="Times New Roman;Times;Serif" w:hAnsi="Times New Roman;Times;Serif"/>
          <w:b w:val="false"/>
          <w:i w:val="false"/>
          <w:caps w:val="false"/>
          <w:smallCaps w:val="false"/>
          <w:sz w:val="20"/>
        </w:rPr>
        <w:t xml:space="preserve"> on this August 17, 2026</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Binah Capital Group,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Craig Gould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Craig Gould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Craig Gould, his true and lawful attorney-in-fact and agent, with full power of substitution and resubstitution, for him and in his name, place and stead, in any and all capacities, to sign any and all amendments to this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registration statement on Form S-8 has been signed below by the following persons on behalf of the Company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370"/>
        <w:gridCol w:w="60"/>
        <w:gridCol w:w="2990"/>
        <w:gridCol w:w="60"/>
        <w:gridCol w:w="1385"/>
      </w:tblGrid>
      <w:tr>
        <w:trPr/>
        <w:tc>
          <w:tcPr>
            <w:tcW w:w="1370" w:type="dxa"/>
            <w:tcBorders/>
            <w:vAlign w:val="center"/>
          </w:tcPr>
          <w:p>
            <w:pPr>
              <w:pStyle w:val="TableContents"/>
              <w:bidi w:val="0"/>
              <w:spacing w:before="0" w:after="283"/>
              <w:jc w:val="center"/>
              <w:rPr>
                <w:b/>
                <w:sz w:val="20"/>
              </w:rPr>
            </w:pPr>
            <w:r>
              <w:rPr>
                <w:b/>
                <w:sz w:val="20"/>
              </w:rPr>
              <w:t>Name</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b/>
                <w:sz w:val="20"/>
              </w:rPr>
            </w:pPr>
            <w:r>
              <w:rPr>
                <w:b/>
                <w:sz w:val="20"/>
              </w:rPr>
              <w:t>Title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sz w:val="20"/>
              </w:rPr>
            </w:pPr>
            <w:r>
              <w:rPr>
                <w:b/>
                <w:sz w:val="20"/>
              </w:rPr>
              <w:t>Date</w:t>
            </w:r>
          </w:p>
        </w:tc>
      </w:tr>
      <w:tr>
        <w:trPr/>
        <w:tc>
          <w:tcPr>
            <w:tcW w:w="137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r>
      <w:tr>
        <w:trPr/>
        <w:tc>
          <w:tcPr>
            <w:tcW w:w="137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Gould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Gould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sz w:val="20"/>
              </w:rPr>
            </w:pPr>
            <w:r>
              <w:rPr>
                <w:sz w:val="20"/>
              </w:rPr>
              <w:t>August 17, 2026</w:t>
            </w:r>
          </w:p>
        </w:tc>
      </w:tr>
      <w:tr>
        <w:trPr/>
        <w:tc>
          <w:tcPr>
            <w:tcW w:w="137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r>
      <w:tr>
        <w:trPr/>
        <w:tc>
          <w:tcPr>
            <w:tcW w:w="137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Shane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Shane</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sz w:val="20"/>
              </w:rPr>
            </w:pPr>
            <w:r>
              <w:rPr>
                <w:sz w:val="20"/>
              </w:rPr>
              <w:t>August 17, 2026</w:t>
            </w:r>
          </w:p>
        </w:tc>
      </w:tr>
      <w:tr>
        <w:trPr/>
        <w:tc>
          <w:tcPr>
            <w:tcW w:w="137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r>
      <w:tr>
        <w:trPr/>
        <w:tc>
          <w:tcPr>
            <w:tcW w:w="137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Crane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Crane</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20"/>
              </w:rPr>
            </w:pPr>
            <w:r>
              <w:rPr>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sz w:val="20"/>
              </w:rPr>
            </w:pPr>
            <w:r>
              <w:rPr>
                <w:sz w:val="20"/>
              </w:rPr>
              <w:t>August 17, 2026</w:t>
            </w:r>
          </w:p>
        </w:tc>
      </w:tr>
      <w:tr>
        <w:trPr/>
        <w:tc>
          <w:tcPr>
            <w:tcW w:w="137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r>
      <w:tr>
        <w:trPr/>
        <w:tc>
          <w:tcPr>
            <w:tcW w:w="137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Hynes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Hynes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20"/>
              </w:rPr>
            </w:pPr>
            <w:r>
              <w:rPr>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sz w:val="20"/>
              </w:rPr>
            </w:pPr>
            <w:r>
              <w:rPr>
                <w:sz w:val="20"/>
              </w:rPr>
              <w:t>August 17, 2026</w:t>
            </w:r>
          </w:p>
        </w:tc>
      </w:tr>
      <w:tr>
        <w:trPr/>
        <w:tc>
          <w:tcPr>
            <w:tcW w:w="137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r>
      <w:tr>
        <w:trPr/>
        <w:tc>
          <w:tcPr>
            <w:tcW w:w="137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Marks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Marks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20"/>
              </w:rPr>
            </w:pPr>
            <w:r>
              <w:rPr>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sz w:val="20"/>
              </w:rPr>
            </w:pPr>
            <w:r>
              <w:rPr>
                <w:sz w:val="20"/>
              </w:rPr>
              <w:t>August 17, 2026</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bookmarkStart w:id="3" w:name="tm2616172d3_ex5-1.htm"/>
      <w:bookmarkStart w:id="4" w:name="kstm2616172d3_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1800"/>
        <w:gridCol w:w="2780"/>
      </w:tblGrid>
      <w:tr>
        <w:trPr/>
        <w:tc>
          <w:tcPr>
            <w:tcW w:w="1800" w:type="dxa"/>
            <w:tcBorders/>
            <w:vAlign w:val="center"/>
          </w:tcPr>
          <w:p>
            <w:pPr>
              <w:pStyle w:val="TableContents"/>
              <w:bidi w:val="0"/>
              <w:spacing w:before="0" w:after="283"/>
              <w:jc w:val="left"/>
              <w:rPr/>
            </w:pPr>
            <w:r>
              <w:rPr/>
              <w:drawing>
                <wp:inline distT="0" distB="0" distL="0" distR="0">
                  <wp:extent cx="10953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1095375" cy="647700"/>
                          </a:xfrm>
                          <a:prstGeom prst="rect">
                            <a:avLst/>
                          </a:prstGeom>
                        </pic:spPr>
                      </pic:pic>
                    </a:graphicData>
                  </a:graphic>
                </wp:inline>
              </w:drawing>
            </w:r>
            <w:r>
              <w:rPr/>
              <w:t> </w:t>
            </w:r>
          </w:p>
        </w:tc>
        <w:tc>
          <w:tcPr>
            <w:tcW w:w="27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DLA Piper LLP (US)</w:t>
            </w:r>
            <w:r>
              <w:rPr>
                <w:rFonts w:ascii="Times New Roman;Times;Serif" w:hAnsi="Times New Roman;Times;Serif"/>
                <w:b w:val="false"/>
                <w:i w:val="false"/>
                <w:caps w:val="false"/>
                <w:smallCaps w:val="false"/>
                <w:sz w:val="20"/>
              </w:rPr>
              <w:br/>
              <w:t>650 S Exeter Street</w:t>
              <w:br/>
              <w:t>Suite 1100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Baltimore, Maryland 21202-4576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410.580.3000</w:t>
              <w:br/>
              <w:t>Fax: 410.580.3001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Binah Capital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State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Albany, NY 12207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as counsel to Binah Capital Group,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have been requested to render this opinion in connection with the Company’s Registration Statement on Form S-8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with the U. 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for registration of up to 2,650,000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common stock, par value $0.0001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that may be issued pursuant to the Binah Capital Group, Inc. 2024 Equity Incentive Plan, as amended (the “</w:t>
      </w:r>
      <w:r>
        <w:rPr>
          <w:rFonts w:ascii="Times New Roman;Times;Serif" w:hAnsi="Times New Roman;Times;Serif"/>
          <w:b/>
          <w:i/>
          <w:caps w:val="false"/>
          <w:smallCaps w:val="false"/>
          <w:sz w:val="20"/>
        </w:rPr>
        <w:t>2024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representation of the Company, and as a basis for the opinion expressed herein, we have reviewed originals or copies, certified or otherwise identified to our satisfaction, of the following documents (collectively,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9"/>
        <w:gridCol w:w="9931"/>
      </w:tblGrid>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charter of the Company (the “</w:t>
            </w:r>
            <w:r>
              <w:rPr>
                <w:rFonts w:ascii="Times New Roman;Times;Serif" w:hAnsi="Times New Roman;Times;Serif"/>
                <w:b/>
                <w:i/>
                <w:sz w:val="20"/>
              </w:rPr>
              <w:t>Charter</w:t>
            </w:r>
            <w:r>
              <w:rPr>
                <w:rFonts w:ascii="Times New Roman;Times;Serif" w:hAnsi="Times New Roman;Times;Serif"/>
                <w:sz w:val="20"/>
              </w:rPr>
              <w:t>”), represented by the Second Amended and Restated Certificate of Incorporation of Binah Capital Group, Inc., as supplemented by the Series A Certificate of Designations, as amended by the Amendment to the Series A Certificate of Designations, and the Series B Certificate of Designations (as certified by the Secretary of State of the State of Delaware and attached to the Secretary’s Certificate (as herein defined));</w:t>
            </w:r>
          </w:p>
        </w:tc>
      </w:tr>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Bylaws of Binah Capital Group, Inc., as in effect on the date hereof (in the form attached to the Secretary’s Certificate);</w:t>
            </w:r>
          </w:p>
        </w:tc>
      </w:tr>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resolutions adopted by, or minutes of the meetings of, the Board of Directors of the Company (or certain of its predecessors) relating to the approval of the 2024 Plan and the amendment thereto, the authorization and approval of the preparation and filing of the Registration Statement, and the issuance of the Shares (in the form attached to the Secretary’s Certificate);</w:t>
            </w:r>
          </w:p>
        </w:tc>
      </w:tr>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certain minutes of a meeting of the stockholders of the Company (or certain of its predecessors); </w:t>
            </w:r>
          </w:p>
        </w:tc>
      </w:tr>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Statement;</w:t>
            </w:r>
          </w:p>
        </w:tc>
      </w:tr>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2024 Plan;</w:t>
            </w:r>
          </w:p>
        </w:tc>
      </w:tr>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good standing certificate for the Company, dated as of the date hereof, issued by the Delaware Secretary of State; and</w:t>
            </w:r>
          </w:p>
        </w:tc>
      </w:tr>
      <w:tr>
        <w:trPr/>
        <w:tc>
          <w:tcPr>
            <w:tcW w:w="7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certificate executed by the Secretary of the Company (the “</w:t>
            </w:r>
            <w:r>
              <w:rPr>
                <w:rFonts w:ascii="Times New Roman;Times;Serif" w:hAnsi="Times New Roman;Times;Serif"/>
                <w:b/>
                <w:sz w:val="20"/>
              </w:rPr>
              <w:t>Secretary’s Certificate</w:t>
            </w:r>
            <w:r>
              <w:rPr>
                <w:rFonts w:ascii="Times New Roman;Times;Serif" w:hAnsi="Times New Roman;Times;Serif"/>
                <w:sz w:val="20"/>
              </w:rPr>
              <w:t>”), dated as of the date hereof, as to certain factual matters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1800"/>
        <w:gridCol w:w="2495"/>
      </w:tblGrid>
      <w:tr>
        <w:trPr/>
        <w:tc>
          <w:tcPr>
            <w:tcW w:w="1800" w:type="dxa"/>
            <w:tcBorders/>
            <w:vAlign w:val="center"/>
          </w:tcPr>
          <w:p>
            <w:pPr>
              <w:pStyle w:val="TableContents"/>
              <w:bidi w:val="0"/>
              <w:spacing w:before="0" w:after="283"/>
              <w:jc w:val="left"/>
              <w:rPr/>
            </w:pPr>
            <w:r>
              <w:rPr/>
              <w:drawing>
                <wp:inline distT="0" distB="0" distL="0" distR="0">
                  <wp:extent cx="109537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1095375" cy="647700"/>
                          </a:xfrm>
                          <a:prstGeom prst="rect">
                            <a:avLst/>
                          </a:prstGeom>
                        </pic:spPr>
                      </pic:pic>
                    </a:graphicData>
                  </a:graphic>
                </wp:inline>
              </w:drawing>
            </w:r>
            <w:r>
              <w:rPr/>
              <w:t> </w:t>
            </w:r>
          </w:p>
        </w:tc>
        <w:tc>
          <w:tcPr>
            <w:tcW w:w="2495" w:type="dxa"/>
            <w:tcBorders/>
            <w:vAlign w:val="center"/>
          </w:tcPr>
          <w:p>
            <w:pPr>
              <w:pStyle w:val="TableContents"/>
              <w:bidi w:val="0"/>
              <w:spacing w:before="0" w:after="283"/>
              <w:jc w:val="right"/>
              <w:rPr/>
            </w:pPr>
            <w:r>
              <w:rPr/>
              <w:t>Binah Capital Group, Inc.</w:t>
              <w:br/>
              <w:t>August 17,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assumed, without independent investigation,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28"/>
        <w:gridCol w:w="9902"/>
      </w:tblGrid>
      <w:tr>
        <w:trPr/>
        <w:tc>
          <w:tcPr>
            <w:tcW w:w="7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(1)</w:t>
            </w:r>
          </w:p>
        </w:tc>
        <w:tc>
          <w:tcPr>
            <w:tcW w:w="9902" w:type="dxa"/>
            <w:tcBorders/>
            <w:shd w:fill="FFFFFF" w:val="clear"/>
            <w:vAlign w:val="center"/>
          </w:tcPr>
          <w:p>
            <w:pPr>
              <w:pStyle w:val="TableContents"/>
              <w:bidi w:val="0"/>
              <w:spacing w:before="0" w:after="283"/>
              <w:jc w:val="both"/>
              <w:rPr/>
            </w:pPr>
            <w:r>
              <w:rPr/>
              <w:t>Each individual executing any of the Documents, whether on behalf of such individual or an entity, is legally competent to do so.</w:t>
            </w:r>
          </w:p>
        </w:tc>
      </w:tr>
      <w:tr>
        <w:trPr/>
        <w:tc>
          <w:tcPr>
            <w:tcW w:w="7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02"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(2)</w:t>
            </w:r>
          </w:p>
        </w:tc>
        <w:tc>
          <w:tcPr>
            <w:tcW w:w="9902" w:type="dxa"/>
            <w:tcBorders/>
            <w:shd w:fill="FFFFFF" w:val="clear"/>
            <w:vAlign w:val="center"/>
          </w:tcPr>
          <w:p>
            <w:pPr>
              <w:pStyle w:val="TableContents"/>
              <w:bidi w:val="0"/>
              <w:spacing w:before="0" w:after="283"/>
              <w:jc w:val="both"/>
              <w:rPr/>
            </w:pPr>
            <w:r>
              <w:rPr/>
              <w:t>Each individual executing any of the Documents on behalf of a party is duly authorized to do so.</w:t>
            </w:r>
          </w:p>
        </w:tc>
      </w:tr>
      <w:tr>
        <w:trPr/>
        <w:tc>
          <w:tcPr>
            <w:tcW w:w="7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02"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(3)</w:t>
            </w:r>
          </w:p>
        </w:tc>
        <w:tc>
          <w:tcPr>
            <w:tcW w:w="9902" w:type="dxa"/>
            <w:tcBorders/>
            <w:shd w:fill="FFFFFF" w:val="clear"/>
            <w:vAlign w:val="center"/>
          </w:tcPr>
          <w:p>
            <w:pPr>
              <w:pStyle w:val="TableContents"/>
              <w:bidi w:val="0"/>
              <w:spacing w:before="0" w:after="283"/>
              <w:jc w:val="both"/>
              <w:rPr/>
            </w:pPr>
            <w:r>
              <w:rPr/>
              <w:t>All Documents submitted to us as originals are authentic. All Documents submitted to us as certified or photostatic copies conform to the original documents. All signatures on all Documents are genuine and valid. All public records reviewed or relied upon by us or on our behalf are true and complete. All statements and information contained in the Documents are true and complete. There has been no oral or written modification or amendment to the Documents by action or omission of the parties or otherwise.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it is our opinion that the Shares to be issued under the 2024 Plan have been duly authorized, and upon the issuance and delivery of the Shares in the manner contemplated by the 2024 Plan and the Registration Statement, and assuming the Company completes all actions and proceedings required on its part to be taken prior to the issuance and delivery of the Shares pursuant to the terms of the 2024 Plan, the Registration Statement and any agreements therefor, including, without limitation, collection of any required payment for the Shares,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qualifications set forth above, the foregoing opinion is further qualified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22"/>
        <w:gridCol w:w="9908"/>
      </w:tblGrid>
      <w:tr>
        <w:trPr/>
        <w:tc>
          <w:tcPr>
            <w:tcW w:w="7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(a)</w:t>
            </w:r>
          </w:p>
        </w:tc>
        <w:tc>
          <w:tcPr>
            <w:tcW w:w="9908" w:type="dxa"/>
            <w:tcBorders/>
            <w:shd w:fill="FFFFFF" w:val="clear"/>
            <w:vAlign w:val="center"/>
          </w:tcPr>
          <w:p>
            <w:pPr>
              <w:pStyle w:val="TableContents"/>
              <w:bidi w:val="0"/>
              <w:spacing w:before="0" w:after="283"/>
              <w:jc w:val="both"/>
              <w:rPr/>
            </w:pPr>
            <w:r>
              <w:rPr/>
              <w:t>The foregoing opinion is rendered as of the date hereof. We assume no obligation to update such opinion to reflect any facts or circumstances that may hereafter come to our attention or changes in the law which may hereafter occur.</w:t>
            </w:r>
          </w:p>
        </w:tc>
      </w:tr>
      <w:tr>
        <w:trPr/>
        <w:tc>
          <w:tcPr>
            <w:tcW w:w="7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908"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(b)</w:t>
            </w:r>
          </w:p>
        </w:tc>
        <w:tc>
          <w:tcPr>
            <w:tcW w:w="9908" w:type="dxa"/>
            <w:tcBorders/>
            <w:shd w:fill="FFFFFF" w:val="clear"/>
            <w:vAlign w:val="center"/>
          </w:tcPr>
          <w:p>
            <w:pPr>
              <w:pStyle w:val="TableContents"/>
              <w:bidi w:val="0"/>
              <w:spacing w:before="0" w:after="283"/>
              <w:jc w:val="both"/>
              <w:rPr/>
            </w:pPr>
            <w:r>
              <w:rPr/>
              <w:t>We do not express any opinion herein concerning any law other than the laws of the Delaware General Corporation Law (including the statutory provisions thereof, the applicable provisions of the Delaware Constitution and reported judicial decisions interpreting the foregoing).  We express no opinion as to the applicability or effect of any federal or state securities (or “blue sky”) laws, including the securities laws of the State of Delaware or any federal or state laws regarding fraudulent transfers or fraudulent conveyances. To the extent that any matter as to which our opinion is expressed herein would be governed by any provisions other than those set forth in the Delaware General Corporation Law, we do not express any opinion on such matter. We have not obtained opinions of counsel licensed to practice in jurisdictions other than the State of Maryland.</w:t>
            </w:r>
          </w:p>
        </w:tc>
      </w:tr>
      <w:tr>
        <w:trPr/>
        <w:tc>
          <w:tcPr>
            <w:tcW w:w="7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908"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(c)</w:t>
            </w:r>
          </w:p>
        </w:tc>
        <w:tc>
          <w:tcPr>
            <w:tcW w:w="9908" w:type="dxa"/>
            <w:tcBorders/>
            <w:shd w:fill="FFFFFF" w:val="clear"/>
            <w:vAlign w:val="center"/>
          </w:tcPr>
          <w:p>
            <w:pPr>
              <w:pStyle w:val="TableContents"/>
              <w:bidi w:val="0"/>
              <w:spacing w:before="0" w:after="283"/>
              <w:jc w:val="both"/>
              <w:rPr/>
            </w:pPr>
            <w:r>
              <w:rPr/>
              <w:t>We have assumed that the issuance of the Shares, together with any other shares of Common Stock then outstanding will not cause the Company to issue shares of Common Stock in excess of the number of such shares then authorized under its Charter. The Company has represented to us and we have also assumed that the Company has reserved from its duly authorized but unissued and otherwise unreserved stock a sufficient number of shares of Common Stock as were approved by the Company’s stockholders for issuance under the 2024 Plan. We have also assumed that the Company will at all times reserve and keep available out of the aggregate of its authorized but unissued and otherwise unreserved Common Stock, solely for the purpose of enabling it to issue the Shares in accordance with the 2024 Plan, the number of Shares which are then issuable and deliverable upon the settlement of awards under the 2024 Plan.</w:t>
            </w:r>
          </w:p>
        </w:tc>
      </w:tr>
      <w:tr>
        <w:trPr/>
        <w:tc>
          <w:tcPr>
            <w:tcW w:w="7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908"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(d)</w:t>
            </w:r>
          </w:p>
        </w:tc>
        <w:tc>
          <w:tcPr>
            <w:tcW w:w="9908" w:type="dxa"/>
            <w:tcBorders/>
            <w:shd w:fill="FFFFFF" w:val="clear"/>
            <w:vAlign w:val="center"/>
          </w:tcPr>
          <w:p>
            <w:pPr>
              <w:pStyle w:val="TableContents"/>
              <w:bidi w:val="0"/>
              <w:spacing w:before="0" w:after="283"/>
              <w:jc w:val="left"/>
              <w:rPr/>
            </w:pPr>
            <w:r>
              <w:rPr/>
              <w:t>This opinion is limited to the matters set forth herein, and no other opinion should be inferred beyond the matters expressly stated.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1800"/>
        <w:gridCol w:w="2495"/>
      </w:tblGrid>
      <w:tr>
        <w:trPr/>
        <w:tc>
          <w:tcPr>
            <w:tcW w:w="1800" w:type="dxa"/>
            <w:tcBorders/>
            <w:vAlign w:val="center"/>
          </w:tcPr>
          <w:p>
            <w:pPr>
              <w:pStyle w:val="TableContents"/>
              <w:bidi w:val="0"/>
              <w:spacing w:before="0" w:after="283"/>
              <w:jc w:val="left"/>
              <w:rPr/>
            </w:pPr>
            <w:r>
              <w:rPr/>
              <w:drawing>
                <wp:inline distT="0" distB="0" distL="0" distR="0">
                  <wp:extent cx="1095375"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1095375" cy="647700"/>
                          </a:xfrm>
                          <a:prstGeom prst="rect">
                            <a:avLst/>
                          </a:prstGeom>
                        </pic:spPr>
                      </pic:pic>
                    </a:graphicData>
                  </a:graphic>
                </wp:inline>
              </w:drawing>
            </w:r>
            <w:r>
              <w:rPr/>
              <w:t> </w:t>
            </w:r>
          </w:p>
        </w:tc>
        <w:tc>
          <w:tcPr>
            <w:tcW w:w="2495" w:type="dxa"/>
            <w:tcBorders/>
            <w:vAlign w:val="center"/>
          </w:tcPr>
          <w:p>
            <w:pPr>
              <w:pStyle w:val="TableContents"/>
              <w:bidi w:val="0"/>
              <w:spacing w:before="0" w:after="283"/>
              <w:jc w:val="right"/>
              <w:rPr/>
            </w:pPr>
            <w:r>
              <w:rPr/>
              <w:t>Binah Capital Group, Inc.</w:t>
              <w:br/>
              <w:t>August 17,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and the use of our name wherever it appears in the Registration Statement. In giving this consent, we do not admit that we are within the category of persons whose consent is required under Section 7 of the Securities Act, the rules and regulations of the Commission promulgated thereunder or Item 509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5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DLA Piper LLP (US)</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bookmarkStart w:id="5" w:name="tm2616172d3_ex23-2.htm"/>
      <w:bookmarkStart w:id="6" w:name="kstm2616172d3_ex232"/>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Binah Capital Group, Inc. of our report dated March 31, 2026, with respect to the consolidated financial statements, which appears in Binah Capital Group, Inc.’s Form 10-K for the years ended December 31, 2025 and 2024, as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FGMK,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jc w:val="left"/>
        <w:rPr>
          <w:sz w:val="4"/>
          <w:szCs w:val="4"/>
        </w:rPr>
      </w:pPr>
      <w:r>
        <w:rPr>
          <w:sz w:val="4"/>
          <w:szCs w:val="4"/>
        </w:rPr>
      </w:r>
      <w:bookmarkStart w:id="7" w:name="tm2616172d3_ex-filingfees.htm"/>
      <w:bookmarkStart w:id="8" w:name="kstm2616172d3_exfilingfees"/>
      <w:bookmarkStart w:id="9" w:name="tm2616172d3_ex-filingfees.htm"/>
      <w:bookmarkStart w:id="10" w:name="kstm2616172d3_exfilingfees"/>
      <w:bookmarkEnd w:id="9"/>
      <w:bookmarkEnd w:id="10"/>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Binah Capital Group,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par value $0.0001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2,650,000 </w:t>
            </w:r>
          </w:p>
        </w:tc>
        <w:tc>
          <w:tcPr>
            <w:tcW w:w="1244" w:type="dxa"/>
            <w:tcBorders/>
            <w:shd w:fill="E7E7E2" w:val="clear"/>
            <w:vAlign w:val="center"/>
          </w:tcPr>
          <w:p>
            <w:pPr>
              <w:pStyle w:val="TableContents"/>
              <w:bidi w:val="0"/>
              <w:spacing w:before="0" w:after="283"/>
              <w:jc w:val="right"/>
              <w:rPr/>
            </w:pPr>
            <w:r>
              <w:rPr/>
              <w:t xml:space="preserve">$ 1.32 </w:t>
            </w:r>
          </w:p>
        </w:tc>
        <w:tc>
          <w:tcPr>
            <w:tcW w:w="1603" w:type="dxa"/>
            <w:tcBorders/>
            <w:shd w:fill="E7E7E2" w:val="clear"/>
            <w:vAlign w:val="center"/>
          </w:tcPr>
          <w:p>
            <w:pPr>
              <w:pStyle w:val="TableContents"/>
              <w:bidi w:val="0"/>
              <w:spacing w:before="0" w:after="283"/>
              <w:jc w:val="right"/>
              <w:rPr/>
            </w:pPr>
            <w:r>
              <w:rPr/>
              <w:t xml:space="preserve">$ 3,498,000.00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$ 483.07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$ 3,498,000.00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$ 483.07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4" w:name="NetFeeAmt"/>
            <w:bookmarkEnd w:id="14"/>
            <w:r>
              <w:rPr/>
              <w:t xml:space="preserve">$ 483.07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Pursuant to Rule 416 under the Securities Act of 1933, as amended (the "Securities Act"), this Registration Statement shall also cover additional shares of common stock, par value $0.0001 per share, of Binah Capital Group, Inc. (the "Company"), which may become issuable by reason of any stock split, stock dividend, recapitalization or other similar transaction effected without consideration which results in an increase in the number of the Company's outstanding shares of common stock. (1b) Estimated solely for purposes of calculating the registration fee pursuant to Rule 457(c) and (h) of the Securities Act. The proposed maximum offering price per share, proposed maximum aggregate offering price and the amount of the registration fee are based on the average of the high and low prices for the common stock as reported on The Nasdaq Global Market on August 11, 2026. (1c) Represents additional shares of common stock of the Company issuable under Binah Capital Group, Inc. 2024 Equity Incentive Plan, as may be amended or restated from time to time (the "Plan"). Shares of common stock issuable under the Plan include awards of stock options, stock appreciation rights, restricted stock, restricted stock units, performance awards and other stock-based awards.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953984/000110465926037897/tmb-20251231x10k.htm" TargetMode="External"/><Relationship Id="rId3" Type="http://schemas.openxmlformats.org/officeDocument/2006/relationships/hyperlink" Target="https://www.sec.gov/ix?doc=/Archives/edgar/data/1953984/000110465926052871/tm264859-1_def14a.htm" TargetMode="External"/><Relationship Id="rId4" Type="http://schemas.openxmlformats.org/officeDocument/2006/relationships/hyperlink" Target="https://www.sec.gov/ix?doc=/Archives/edgar/data/1953984/000110465926062580/tmb-20260331x10q.htm" TargetMode="External"/><Relationship Id="rId5" Type="http://schemas.openxmlformats.org/officeDocument/2006/relationships/hyperlink" Target="https://www.sec.gov/Archives/edgar/data/1953984/000110465926095997/tmb-20260630x10q.htm" TargetMode="External"/><Relationship Id="rId6" Type="http://schemas.openxmlformats.org/officeDocument/2006/relationships/hyperlink" Target="https://www.sec.gov/Archives/edgar/data/1953984/000110465926037897/tmb-20251231xex4d5.htm" TargetMode="External"/><Relationship Id="rId7" Type="http://schemas.openxmlformats.org/officeDocument/2006/relationships/hyperlink" Target="https://www.sec.gov/Archives/edgar/data/1953984/000110465924037860/tm249347d1_ex3-1.htm" TargetMode="External"/><Relationship Id="rId8" Type="http://schemas.openxmlformats.org/officeDocument/2006/relationships/hyperlink" Target="https://www.sec.gov/Archives/edgar/data/1953984/000110465924037860/tm249347d1_ex3-1.htm" TargetMode="External"/><Relationship Id="rId9" Type="http://schemas.openxmlformats.org/officeDocument/2006/relationships/hyperlink" Target="https://www.sec.gov/Archives/edgar/data/1953984/000110465924037860/tm249347d1_ex3-2.htm" TargetMode="External"/><Relationship Id="rId10" Type="http://schemas.openxmlformats.org/officeDocument/2006/relationships/hyperlink" Target="https://www.sec.gov/Archives/edgar/data/1953984/000110465924037860/tm249347d1_ex3-2.htm" TargetMode="External"/><Relationship Id="rId11" Type="http://schemas.openxmlformats.org/officeDocument/2006/relationships/hyperlink" Target="https://www.sec.gov/Archives/edgar/data/1953984/000110465924131438/tm2431922d1_ex4-1.htm" TargetMode="External"/><Relationship Id="rId12" Type="http://schemas.openxmlformats.org/officeDocument/2006/relationships/hyperlink" Target="https://www.sec.gov/Archives/edgar/data/1953984/000110465924131438/tm2431922d1_ex4-1.htm" TargetMode="External"/><Relationship Id="rId13" Type="http://schemas.openxmlformats.org/officeDocument/2006/relationships/hyperlink" Target="https://www.sec.gov/Archives/edgar/data/1953984/000110465926021627/tm267592d1_ex4-1.htm" TargetMode="External"/><Relationship Id="rId14" Type="http://schemas.openxmlformats.org/officeDocument/2006/relationships/hyperlink" Target="https://www.sec.gov/Archives/edgar/data/1953984/000110465926021627/tm267592d1_ex4-1.htm" TargetMode="External"/><Relationship Id="rId15" Type="http://schemas.openxmlformats.org/officeDocument/2006/relationships/hyperlink" Target="https://www.sec.gov/Archives/edgar/data/1953984/000110465926021627/tm267592d1_ex4-1.htm" TargetMode="External"/><Relationship Id="rId16" Type="http://schemas.openxmlformats.org/officeDocument/2006/relationships/hyperlink" Target="https://www.sec.gov/Archives/edgar/data/1953984/000110465926021627/tm267592d1_ex4-1.htm" TargetMode="External"/><Relationship Id="rId17" Type="http://schemas.openxmlformats.org/officeDocument/2006/relationships/hyperlink" Target="https://www.sec.gov/Archives/edgar/data/1953984/000110465925036042/tm2511811d1_ex99-1.htm" TargetMode="External"/><Relationship Id="rId18" Type="http://schemas.openxmlformats.org/officeDocument/2006/relationships/hyperlink" Target="https://www.sec.gov/Archives/edgar/data/1953984/000110465925036042/tm2511811d1_ex99-1.htm" TargetMode="External"/><Relationship Id="rId19" Type="http://schemas.openxmlformats.org/officeDocument/2006/relationships/hyperlink" Target="https://www.sec.gov/Archives/edgar/data/1953984/000110465926095997/tmb-20260630xex10d1.htm" TargetMode="External"/><Relationship Id="rId20" Type="http://schemas.openxmlformats.org/officeDocument/2006/relationships/hyperlink" Target="https://www.sec.gov/Archives/edgar/data/1953984/000110465926095997/tmb-20260630xex10d1.htm" TargetMode="External"/><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4195</Words>
  <Characters>22033</Characters>
  <CharactersWithSpaces>26299</CharactersWithSpaces>
  <Paragraphs>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